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01" w:rsidRPr="00E361C2" w:rsidRDefault="00A75B01">
      <w:pPr>
        <w:pStyle w:val="30"/>
        <w:shd w:val="clear" w:color="auto" w:fill="auto"/>
        <w:spacing w:after="811"/>
        <w:ind w:right="20"/>
        <w:rPr>
          <w:sz w:val="28"/>
          <w:szCs w:val="28"/>
        </w:rPr>
      </w:pPr>
      <w:r w:rsidRPr="00E361C2">
        <w:rPr>
          <w:sz w:val="28"/>
          <w:szCs w:val="28"/>
        </w:rPr>
        <w:t>Налогообложение физических лиц в рамках договоров,</w:t>
      </w:r>
      <w:r w:rsidRPr="00E361C2">
        <w:rPr>
          <w:sz w:val="28"/>
          <w:szCs w:val="28"/>
        </w:rPr>
        <w:br/>
        <w:t>заключенным с ООО Инвестиционная палата.</w:t>
      </w:r>
    </w:p>
    <w:p w:rsidR="00A75B01" w:rsidRPr="00E361C2" w:rsidRDefault="00A75B01">
      <w:pPr>
        <w:pStyle w:val="30"/>
        <w:shd w:val="clear" w:color="auto" w:fill="auto"/>
        <w:spacing w:after="811"/>
        <w:ind w:right="20"/>
        <w:rPr>
          <w:sz w:val="20"/>
          <w:szCs w:val="20"/>
        </w:rPr>
      </w:pPr>
      <w:r w:rsidRPr="00E361C2">
        <w:rPr>
          <w:sz w:val="20"/>
          <w:szCs w:val="20"/>
        </w:rPr>
        <w:t>ОГЛАВЛЕНИЕ</w:t>
      </w:r>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r w:rsidRPr="00E361C2">
        <w:rPr>
          <w:rFonts w:ascii="Times New Roman" w:hAnsi="Times New Roman" w:cs="Times New Roman"/>
          <w:sz w:val="20"/>
          <w:szCs w:val="20"/>
        </w:rPr>
        <w:fldChar w:fldCharType="begin"/>
      </w:r>
      <w:r w:rsidRPr="00E361C2">
        <w:rPr>
          <w:rFonts w:ascii="Times New Roman" w:hAnsi="Times New Roman" w:cs="Times New Roman"/>
          <w:sz w:val="20"/>
          <w:szCs w:val="20"/>
        </w:rPr>
        <w:instrText xml:space="preserve"> TOC \o "1-1" \h \z \u </w:instrText>
      </w:r>
      <w:r w:rsidRPr="00E361C2">
        <w:rPr>
          <w:rFonts w:ascii="Times New Roman" w:hAnsi="Times New Roman" w:cs="Times New Roman"/>
          <w:sz w:val="20"/>
          <w:szCs w:val="20"/>
        </w:rPr>
        <w:fldChar w:fldCharType="separate"/>
      </w:r>
      <w:hyperlink w:anchor="_Toc66707239" w:history="1">
        <w:r w:rsidRPr="00E361C2">
          <w:rPr>
            <w:rStyle w:val="Hyperlink"/>
            <w:rFonts w:ascii="Times New Roman" w:hAnsi="Times New Roman"/>
            <w:noProof/>
            <w:sz w:val="20"/>
            <w:szCs w:val="20"/>
          </w:rPr>
          <w:t>Введение</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_Toc66707239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0" w:history="1">
        <w:r w:rsidRPr="00E361C2">
          <w:rPr>
            <w:rStyle w:val="Hyperlink"/>
            <w:rFonts w:ascii="Times New Roman" w:hAnsi="Times New Roman"/>
            <w:noProof/>
            <w:sz w:val="20"/>
            <w:szCs w:val="20"/>
          </w:rPr>
          <w:t>Правовое регулирование</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_Toc66707240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1" w:history="1">
        <w:r w:rsidRPr="00E361C2">
          <w:rPr>
            <w:rStyle w:val="Hyperlink"/>
            <w:rFonts w:ascii="Times New Roman" w:hAnsi="Times New Roman"/>
            <w:noProof/>
            <w:sz w:val="20"/>
            <w:szCs w:val="20"/>
          </w:rPr>
          <w:t>Налогоплательщик и налоговый агент</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_Toc66707241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2" w:history="1">
        <w:r w:rsidRPr="00E361C2">
          <w:rPr>
            <w:rStyle w:val="Hyperlink"/>
            <w:rFonts w:ascii="Times New Roman" w:hAnsi="Times New Roman"/>
            <w:noProof/>
            <w:sz w:val="20"/>
            <w:szCs w:val="20"/>
          </w:rPr>
          <w:t>Исчисление налога, удержание, уплата и возврат</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_Toc66707242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3" w:history="1">
        <w:r w:rsidRPr="00E361C2">
          <w:rPr>
            <w:rStyle w:val="Hyperlink"/>
            <w:rFonts w:ascii="Times New Roman" w:hAnsi="Times New Roman"/>
            <w:noProof/>
            <w:sz w:val="20"/>
            <w:szCs w:val="20"/>
          </w:rPr>
          <w:t>Ставки</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_Toc66707243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4" w:history="1">
        <w:r w:rsidRPr="00E361C2">
          <w:rPr>
            <w:rStyle w:val="Hyperlink"/>
            <w:rFonts w:ascii="Times New Roman" w:hAnsi="Times New Roman"/>
            <w:noProof/>
            <w:sz w:val="20"/>
            <w:szCs w:val="20"/>
          </w:rPr>
          <w:t>Доходы, расходы и финансовый результат</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_Toc66707244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5" w:history="1">
        <w:r w:rsidRPr="00E361C2">
          <w:rPr>
            <w:rStyle w:val="Hyperlink"/>
            <w:rFonts w:ascii="Times New Roman" w:hAnsi="Times New Roman"/>
            <w:noProof/>
            <w:sz w:val="20"/>
            <w:szCs w:val="20"/>
          </w:rPr>
          <w:t>Льготы налоговые</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_Toc66707245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6" w:history="1">
        <w:r w:rsidRPr="00E361C2">
          <w:rPr>
            <w:rStyle w:val="Hyperlink"/>
            <w:rFonts w:ascii="Times New Roman" w:hAnsi="Times New Roman"/>
            <w:noProof/>
            <w:sz w:val="20"/>
            <w:szCs w:val="20"/>
          </w:rPr>
          <w:t>Документы, подтверждающие расходы</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_Toc66707246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7" w:history="1">
        <w:r w:rsidRPr="00E361C2">
          <w:rPr>
            <w:rStyle w:val="Hyperlink"/>
            <w:rFonts w:ascii="Times New Roman" w:hAnsi="Times New Roman"/>
            <w:noProof/>
            <w:sz w:val="20"/>
            <w:szCs w:val="20"/>
          </w:rPr>
          <w:t>Учет убытков</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_Toc66707247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8" w:history="1">
        <w:r w:rsidRPr="00E361C2">
          <w:rPr>
            <w:rStyle w:val="Hyperlink"/>
            <w:rFonts w:ascii="Times New Roman" w:hAnsi="Times New Roman"/>
            <w:noProof/>
            <w:sz w:val="20"/>
            <w:szCs w:val="20"/>
          </w:rPr>
          <w:t>РЕПО</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_Toc66707248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49" w:history="1">
        <w:r w:rsidRPr="00E361C2">
          <w:rPr>
            <w:rStyle w:val="Hyperlink"/>
            <w:rFonts w:ascii="Times New Roman" w:hAnsi="Times New Roman"/>
            <w:noProof/>
            <w:sz w:val="20"/>
            <w:szCs w:val="20"/>
          </w:rPr>
          <w:t>Операции займа ценными бумагами</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_Toc66707249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50" w:history="1">
        <w:r w:rsidRPr="00E361C2">
          <w:rPr>
            <w:rStyle w:val="Hyperlink"/>
            <w:rFonts w:ascii="Times New Roman" w:hAnsi="Times New Roman"/>
            <w:noProof/>
            <w:sz w:val="20"/>
            <w:szCs w:val="20"/>
          </w:rPr>
          <w:t>Короткие позиции</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_Toc66707250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51" w:history="1">
        <w:r w:rsidRPr="00E361C2">
          <w:rPr>
            <w:rStyle w:val="Hyperlink"/>
            <w:rFonts w:ascii="Times New Roman" w:hAnsi="Times New Roman"/>
            <w:noProof/>
            <w:sz w:val="20"/>
            <w:szCs w:val="20"/>
          </w:rPr>
          <w:t>Материальная выгода</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_Toc66707251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52" w:history="1">
        <w:r w:rsidRPr="00E361C2">
          <w:rPr>
            <w:rStyle w:val="Hyperlink"/>
            <w:rFonts w:ascii="Times New Roman" w:hAnsi="Times New Roman"/>
            <w:noProof/>
            <w:sz w:val="20"/>
            <w:szCs w:val="20"/>
          </w:rPr>
          <w:t>Индивидуальные инвестиционные счета</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_Toc66707252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53" w:history="1">
        <w:r w:rsidRPr="00E361C2">
          <w:rPr>
            <w:rStyle w:val="Hyperlink"/>
            <w:rFonts w:ascii="Times New Roman" w:hAnsi="Times New Roman"/>
            <w:noProof/>
            <w:sz w:val="20"/>
            <w:szCs w:val="20"/>
          </w:rPr>
          <w:t>Инвестиционные вычеты</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_Toc66707253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54" w:history="1">
        <w:r w:rsidRPr="00E361C2">
          <w:rPr>
            <w:rStyle w:val="Hyperlink"/>
            <w:rFonts w:ascii="Times New Roman" w:hAnsi="Times New Roman"/>
            <w:noProof/>
            <w:sz w:val="20"/>
            <w:szCs w:val="20"/>
          </w:rPr>
          <w:t>Вычет № 1 для продавцов долгосрочных ценных бумаг, обращающихся на организованном рынке ценных бумаг.</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_Toc66707254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55" w:history="1">
        <w:r w:rsidRPr="00E361C2">
          <w:rPr>
            <w:rStyle w:val="Hyperlink"/>
            <w:rFonts w:ascii="Times New Roman" w:hAnsi="Times New Roman"/>
            <w:noProof/>
            <w:sz w:val="20"/>
            <w:szCs w:val="20"/>
          </w:rPr>
          <w:t>Вычет № 2 и № 3 по операциям на индивидуальном инвестиционном счете.</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_Toc66707255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w:t>
        </w:r>
        <w:r w:rsidRPr="00E361C2">
          <w:rPr>
            <w:rFonts w:ascii="Times New Roman" w:hAnsi="Times New Roman" w:cs="Times New Roman"/>
            <w:noProof/>
            <w:webHidden/>
            <w:sz w:val="20"/>
            <w:szCs w:val="20"/>
          </w:rPr>
          <w:fldChar w:fldCharType="end"/>
        </w:r>
      </w:hyperlink>
    </w:p>
    <w:p w:rsidR="00A75B01" w:rsidRPr="00E361C2" w:rsidRDefault="00A75B01">
      <w:pPr>
        <w:pStyle w:val="TOC1"/>
        <w:tabs>
          <w:tab w:val="right" w:pos="9690"/>
        </w:tabs>
        <w:rPr>
          <w:rFonts w:ascii="Times New Roman" w:hAnsi="Times New Roman" w:cs="Times New Roman"/>
          <w:b w:val="0"/>
          <w:bCs w:val="0"/>
          <w:caps w:val="0"/>
          <w:noProof/>
          <w:color w:val="auto"/>
          <w:sz w:val="20"/>
          <w:szCs w:val="20"/>
        </w:rPr>
      </w:pPr>
      <w:hyperlink w:anchor="_Toc66707256" w:history="1">
        <w:r w:rsidRPr="00E361C2">
          <w:rPr>
            <w:rStyle w:val="Hyperlink"/>
            <w:rFonts w:ascii="Times New Roman" w:hAnsi="Times New Roman"/>
            <w:noProof/>
            <w:sz w:val="20"/>
            <w:szCs w:val="20"/>
          </w:rPr>
          <w:t>Ликвидация эмитента</w:t>
        </w:r>
        <w:r w:rsidRPr="00E361C2">
          <w:rPr>
            <w:rFonts w:ascii="Times New Roman" w:hAnsi="Times New Roman" w:cs="Times New Roman"/>
            <w:noProof/>
            <w:webHidden/>
            <w:sz w:val="20"/>
            <w:szCs w:val="20"/>
          </w:rPr>
          <w:tab/>
        </w:r>
        <w:r w:rsidRPr="00E361C2">
          <w:rPr>
            <w:rFonts w:ascii="Times New Roman" w:hAnsi="Times New Roman" w:cs="Times New Roman"/>
            <w:noProof/>
            <w:webHidden/>
            <w:sz w:val="20"/>
            <w:szCs w:val="20"/>
          </w:rPr>
          <w:fldChar w:fldCharType="begin"/>
        </w:r>
        <w:r w:rsidRPr="00E361C2">
          <w:rPr>
            <w:rFonts w:ascii="Times New Roman" w:hAnsi="Times New Roman" w:cs="Times New Roman"/>
            <w:noProof/>
            <w:webHidden/>
            <w:sz w:val="20"/>
            <w:szCs w:val="20"/>
          </w:rPr>
          <w:instrText xml:space="preserve"> PAGEREF _Toc66707256 \h </w:instrText>
        </w:r>
        <w:r w:rsidRPr="0047558B">
          <w:rPr>
            <w:rFonts w:ascii="Times New Roman" w:hAnsi="Times New Roman" w:cs="Times New Roman"/>
            <w:noProof/>
            <w:sz w:val="20"/>
            <w:szCs w:val="20"/>
          </w:rPr>
        </w:r>
        <w:r w:rsidRPr="00E361C2">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w:t>
        </w:r>
        <w:r w:rsidRPr="00E361C2">
          <w:rPr>
            <w:rFonts w:ascii="Times New Roman" w:hAnsi="Times New Roman" w:cs="Times New Roman"/>
            <w:noProof/>
            <w:webHidden/>
            <w:sz w:val="20"/>
            <w:szCs w:val="20"/>
          </w:rPr>
          <w:fldChar w:fldCharType="end"/>
        </w:r>
      </w:hyperlink>
    </w:p>
    <w:p w:rsidR="00A75B01" w:rsidRDefault="00A75B01">
      <w:pPr>
        <w:pStyle w:val="30"/>
        <w:shd w:val="clear" w:color="auto" w:fill="auto"/>
        <w:spacing w:after="811"/>
        <w:ind w:right="20"/>
      </w:pPr>
      <w:r w:rsidRPr="00E361C2">
        <w:rPr>
          <w:sz w:val="20"/>
          <w:szCs w:val="20"/>
        </w:rPr>
        <w:fldChar w:fldCharType="end"/>
      </w:r>
    </w:p>
    <w:p w:rsidR="00A75B01" w:rsidRDefault="00A75B01" w:rsidP="001653CE">
      <w:bookmarkStart w:id="0" w:name="_Toc66697464"/>
      <w:bookmarkStart w:id="1" w:name="_Toc66707239"/>
    </w:p>
    <w:p w:rsidR="00A75B01" w:rsidRPr="001653CE" w:rsidRDefault="00A75B01" w:rsidP="001653CE"/>
    <w:p w:rsidR="00A75B01" w:rsidRDefault="00A75B01">
      <w:pPr>
        <w:pStyle w:val="11"/>
        <w:keepNext/>
        <w:keepLines/>
        <w:shd w:val="clear" w:color="auto" w:fill="auto"/>
        <w:spacing w:after="0" w:line="240" w:lineRule="exact"/>
        <w:ind w:firstLine="0"/>
      </w:pPr>
    </w:p>
    <w:p w:rsidR="00A75B01" w:rsidRDefault="00A75B01">
      <w:pPr>
        <w:pStyle w:val="11"/>
        <w:keepNext/>
        <w:keepLines/>
        <w:shd w:val="clear" w:color="auto" w:fill="auto"/>
        <w:spacing w:after="0" w:line="240" w:lineRule="exact"/>
        <w:ind w:firstLine="0"/>
      </w:pPr>
      <w:r>
        <w:t>Введение</w:t>
      </w:r>
      <w:bookmarkEnd w:id="0"/>
      <w:bookmarkEnd w:id="1"/>
    </w:p>
    <w:p w:rsidR="00A75B01" w:rsidRPr="00CF0E15" w:rsidRDefault="00A75B01" w:rsidP="00CF0E15">
      <w:pPr>
        <w:ind w:firstLine="543"/>
        <w:jc w:val="both"/>
        <w:rPr>
          <w:rFonts w:ascii="Times New Roman" w:hAnsi="Times New Roman" w:cs="Times New Roman"/>
        </w:rPr>
      </w:pPr>
      <w:bookmarkStart w:id="2" w:name="bookmark1"/>
      <w:r w:rsidRPr="00CF0E15">
        <w:rPr>
          <w:rFonts w:ascii="Times New Roman" w:hAnsi="Times New Roman" w:cs="Times New Roman"/>
        </w:rPr>
        <w:t>Ценные бумаги и производные финансовые инструменты всегда были непростым объектом налогообложения в первую очередь из-за многообразия их видов и бесчисленного множества способов получения прибыли.</w:t>
      </w:r>
    </w:p>
    <w:p w:rsidR="00A75B01" w:rsidRPr="00CF0E15" w:rsidRDefault="00A75B01" w:rsidP="00CF0E15">
      <w:pPr>
        <w:ind w:firstLine="543"/>
        <w:jc w:val="both"/>
        <w:rPr>
          <w:rFonts w:ascii="Times New Roman" w:hAnsi="Times New Roman" w:cs="Times New Roman"/>
        </w:rPr>
      </w:pPr>
      <w:r w:rsidRPr="00CF0E15">
        <w:rPr>
          <w:rFonts w:ascii="Times New Roman" w:hAnsi="Times New Roman" w:cs="Times New Roman"/>
        </w:rPr>
        <w:t>Немалую лепту в сложность понимания норм и правил налогообложения привносит то, что в ряде случаев эти нормы и правила прописаны общно, а необходимо более детально, а там где можно установить общие правила, наоборот изложено очень подробно и детально. Как следствие этого возникают неоднозначные, иногда противоречивые трактовки и разъяснения налоговых норм.</w:t>
      </w:r>
    </w:p>
    <w:p w:rsidR="00A75B01" w:rsidRDefault="00A75B01" w:rsidP="008661F5">
      <w:pPr>
        <w:pStyle w:val="21"/>
        <w:shd w:val="clear" w:color="auto" w:fill="auto"/>
        <w:spacing w:before="0"/>
        <w:ind w:firstLine="580"/>
      </w:pPr>
      <w:r>
        <w:t xml:space="preserve"> </w:t>
      </w:r>
      <w:bookmarkEnd w:id="2"/>
      <w:r>
        <w:t>Следует также учитывать и то, что наше налоговое законодательство находится в постоянном развитии. По темпам роста нововведений далеко обгоняет Российскую экономику. За последние четыре года было принято как минимум 104 закона, изменяющих и дополняющих Налоговый Кодекс. Не говоря уже о количестве выпущенных подзаконных актов, приказов, разъяснений и пояснений. В таком огромном объеме информации, с изменяемыми характеристиками, обычному налогоплательщику – физическому лицу без посторонней помощи сориентироваться сложно, а иногда и невозможно.</w:t>
      </w:r>
    </w:p>
    <w:p w:rsidR="00A75B01" w:rsidRDefault="00A75B01" w:rsidP="008661F5">
      <w:pPr>
        <w:pStyle w:val="21"/>
        <w:shd w:val="clear" w:color="auto" w:fill="auto"/>
        <w:spacing w:before="0"/>
        <w:ind w:firstLine="580"/>
      </w:pPr>
      <w:r>
        <w:t xml:space="preserve"> Хотя законодатель в большей степени перенес бремя расчета налогов с физического лица на налоговую инспекцию и налогового агента, тем не менее физическому лицу как налогоплательщику, особенно торгующему на рынке ценных бумаг необходимо иметь понимание «кухни» налогообложения своих доходов. По крайней мере для того, чтобы понимать свои права и обязанности налогоплательщика. Оценивать правильность исчисления налога.</w:t>
      </w:r>
    </w:p>
    <w:p w:rsidR="00A75B01" w:rsidRDefault="00A75B01">
      <w:pPr>
        <w:pStyle w:val="21"/>
        <w:shd w:val="clear" w:color="auto" w:fill="auto"/>
        <w:spacing w:before="0" w:after="244" w:line="278" w:lineRule="exact"/>
        <w:ind w:firstLine="580"/>
      </w:pPr>
      <w:r>
        <w:t>В хитросплетениях и сложностях исчисления и уплаты налога на доходы физических лиц (НДФЛ) мы постараемся разобраться в настоящем материале.</w:t>
      </w:r>
    </w:p>
    <w:p w:rsidR="00A75B01" w:rsidRDefault="00A75B01">
      <w:pPr>
        <w:pStyle w:val="21"/>
        <w:shd w:val="clear" w:color="auto" w:fill="auto"/>
        <w:spacing w:before="0" w:after="360"/>
        <w:ind w:firstLine="580"/>
      </w:pPr>
      <w:bookmarkStart w:id="3" w:name="bookmark2"/>
      <w:r>
        <w:t>Рассмотрим основные аспекты и вопросы определения налоговой базы, исчисления и уплаты НДФЛ, применения налоговых льгот, вопросы декларирования по операциям с ценными бумагами, производными финансовыми инструментами.</w:t>
      </w:r>
      <w:bookmarkEnd w:id="3"/>
    </w:p>
    <w:p w:rsidR="00A75B01" w:rsidRDefault="00A75B01">
      <w:pPr>
        <w:pStyle w:val="11"/>
        <w:keepNext/>
        <w:keepLines/>
        <w:shd w:val="clear" w:color="auto" w:fill="auto"/>
        <w:spacing w:after="0" w:line="274" w:lineRule="exact"/>
        <w:ind w:firstLine="0"/>
      </w:pPr>
      <w:bookmarkStart w:id="4" w:name="_Toc66697465"/>
      <w:bookmarkStart w:id="5" w:name="_Toc66707240"/>
      <w:r>
        <w:t>Правовое регулирование</w:t>
      </w:r>
      <w:bookmarkEnd w:id="4"/>
      <w:bookmarkEnd w:id="5"/>
    </w:p>
    <w:p w:rsidR="00A75B01" w:rsidRDefault="00A75B01">
      <w:pPr>
        <w:pStyle w:val="21"/>
        <w:shd w:val="clear" w:color="auto" w:fill="auto"/>
        <w:spacing w:before="0"/>
        <w:ind w:firstLine="580"/>
      </w:pPr>
      <w:r>
        <w:t>Исчисление и уплата налога на доходы физических лиц регулируется главой № 23 «Налог на доходы физических лиц» Налогового Кодекса Российской Федерации (НК РФ).</w:t>
      </w:r>
    </w:p>
    <w:p w:rsidR="00A75B01" w:rsidRDefault="00A75B01">
      <w:pPr>
        <w:pStyle w:val="21"/>
        <w:shd w:val="clear" w:color="auto" w:fill="auto"/>
        <w:spacing w:before="0"/>
        <w:ind w:firstLine="580"/>
      </w:pPr>
      <w:r>
        <w:t>Особенности исчисления и уплаты налога на доходы физических лиц по операциям с ценными бумагами, операциям с финансовыми инструментами срочных сделок в зависимости от тех или иных факторов определяются:</w:t>
      </w:r>
    </w:p>
    <w:p w:rsidR="00A75B01" w:rsidRDefault="00A75B01">
      <w:pPr>
        <w:pStyle w:val="21"/>
        <w:shd w:val="clear" w:color="auto" w:fill="auto"/>
        <w:spacing w:before="0"/>
        <w:ind w:firstLine="580"/>
      </w:pPr>
      <w:r>
        <w:t>Статьей 212 НК РФ. Данной статьей установлены особенности определения налоговой базы при получении доходов в виде материальной выгоды в случае приобретения ценных бумаг, производных финансовых инструментов ниже их рыночной стоимости;</w:t>
      </w:r>
    </w:p>
    <w:p w:rsidR="00A75B01" w:rsidRDefault="00A75B01">
      <w:pPr>
        <w:pStyle w:val="21"/>
        <w:shd w:val="clear" w:color="auto" w:fill="auto"/>
        <w:spacing w:before="0"/>
        <w:ind w:firstLine="580"/>
      </w:pPr>
      <w:r>
        <w:t>Статьей 214.1 НК РФ. Данной статьей установлены общие принципы определения налоговой базы, исчисления и уплаты НДФЛ по операциям с ценными бумагами и по операциям с производными финансовыми инструментами;</w:t>
      </w:r>
    </w:p>
    <w:p w:rsidR="00A75B01" w:rsidRDefault="00A75B01">
      <w:pPr>
        <w:pStyle w:val="21"/>
        <w:shd w:val="clear" w:color="auto" w:fill="auto"/>
        <w:tabs>
          <w:tab w:val="right" w:pos="2264"/>
          <w:tab w:val="center" w:pos="2475"/>
          <w:tab w:val="left" w:pos="2811"/>
          <w:tab w:val="left" w:pos="3364"/>
          <w:tab w:val="right" w:pos="5235"/>
          <w:tab w:val="center" w:pos="6033"/>
          <w:tab w:val="left" w:pos="6826"/>
          <w:tab w:val="right" w:pos="9650"/>
        </w:tabs>
        <w:spacing w:before="0"/>
        <w:ind w:firstLine="580"/>
      </w:pPr>
      <w:r>
        <w:t>Статьей</w:t>
      </w:r>
      <w:r>
        <w:tab/>
        <w:t>214.3</w:t>
      </w:r>
      <w:r>
        <w:tab/>
        <w:t>НК</w:t>
      </w:r>
      <w:r>
        <w:tab/>
        <w:t>РФ.</w:t>
      </w:r>
      <w:r>
        <w:tab/>
        <w:t>Данной</w:t>
      </w:r>
      <w:r>
        <w:tab/>
        <w:t>статьей</w:t>
      </w:r>
      <w:r>
        <w:tab/>
        <w:t>установлены</w:t>
      </w:r>
      <w:r>
        <w:tab/>
        <w:t>особенности</w:t>
      </w:r>
      <w:r>
        <w:tab/>
        <w:t>определения</w:t>
      </w:r>
    </w:p>
    <w:p w:rsidR="00A75B01" w:rsidRDefault="00A75B01">
      <w:pPr>
        <w:pStyle w:val="21"/>
        <w:shd w:val="clear" w:color="auto" w:fill="auto"/>
        <w:spacing w:before="0"/>
        <w:ind w:firstLine="0"/>
      </w:pPr>
      <w:r>
        <w:t>налоговой базы по операциям РЕПО, объектом которых являются ценные бумаги;</w:t>
      </w:r>
    </w:p>
    <w:p w:rsidR="00A75B01" w:rsidRDefault="00A75B01">
      <w:pPr>
        <w:pStyle w:val="21"/>
        <w:shd w:val="clear" w:color="auto" w:fill="auto"/>
        <w:tabs>
          <w:tab w:val="right" w:pos="2264"/>
          <w:tab w:val="center" w:pos="2475"/>
          <w:tab w:val="left" w:pos="2811"/>
          <w:tab w:val="left" w:pos="3364"/>
          <w:tab w:val="right" w:pos="5235"/>
          <w:tab w:val="center" w:pos="6033"/>
          <w:tab w:val="left" w:pos="6826"/>
          <w:tab w:val="right" w:pos="9650"/>
        </w:tabs>
        <w:spacing w:before="0"/>
        <w:ind w:firstLine="580"/>
      </w:pPr>
      <w:r>
        <w:t>Статьей</w:t>
      </w:r>
      <w:r>
        <w:tab/>
        <w:t>214.4</w:t>
      </w:r>
      <w:r>
        <w:tab/>
        <w:t>НК</w:t>
      </w:r>
      <w:r>
        <w:tab/>
        <w:t>РФ.</w:t>
      </w:r>
      <w:r>
        <w:tab/>
        <w:t>Данной</w:t>
      </w:r>
      <w:r>
        <w:tab/>
        <w:t>статьей</w:t>
      </w:r>
      <w:r>
        <w:tab/>
        <w:t>установлены</w:t>
      </w:r>
      <w:r>
        <w:tab/>
        <w:t>особенности</w:t>
      </w:r>
      <w:r>
        <w:tab/>
        <w:t>определения</w:t>
      </w:r>
    </w:p>
    <w:p w:rsidR="00A75B01" w:rsidRDefault="00A75B01">
      <w:pPr>
        <w:pStyle w:val="21"/>
        <w:shd w:val="clear" w:color="auto" w:fill="auto"/>
        <w:spacing w:before="0"/>
        <w:ind w:firstLine="0"/>
      </w:pPr>
      <w:r>
        <w:t>налоговой базы по операциям займа ценными бумагами;</w:t>
      </w:r>
    </w:p>
    <w:p w:rsidR="00A75B01" w:rsidRDefault="00A75B01">
      <w:pPr>
        <w:pStyle w:val="21"/>
        <w:shd w:val="clear" w:color="auto" w:fill="auto"/>
        <w:tabs>
          <w:tab w:val="right" w:pos="2264"/>
          <w:tab w:val="center" w:pos="2475"/>
          <w:tab w:val="left" w:pos="2811"/>
          <w:tab w:val="right" w:pos="5235"/>
          <w:tab w:val="right" w:pos="9650"/>
        </w:tabs>
        <w:spacing w:before="0"/>
        <w:ind w:firstLine="580"/>
      </w:pPr>
      <w:r>
        <w:t>Статьей 214.6 НК РФ. Данной статьей установлены особенности исчисления и уплаты налога в отношении доходов по государственным ценным бумагам, муниципальным ценным бумагам, а</w:t>
      </w:r>
      <w:r>
        <w:tab/>
        <w:t>также</w:t>
      </w:r>
      <w:r>
        <w:tab/>
        <w:t>по</w:t>
      </w:r>
      <w:r>
        <w:tab/>
        <w:t>эмиссионным</w:t>
      </w:r>
      <w:r>
        <w:tab/>
        <w:t>ценным бумагам, выпущенным</w:t>
      </w:r>
      <w:r>
        <w:tab/>
        <w:t>российскими</w:t>
      </w:r>
    </w:p>
    <w:p w:rsidR="00A75B01" w:rsidRDefault="00A75B01">
      <w:pPr>
        <w:pStyle w:val="21"/>
        <w:shd w:val="clear" w:color="auto" w:fill="auto"/>
        <w:spacing w:before="0"/>
        <w:ind w:firstLine="0"/>
      </w:pPr>
      <w:r>
        <w:t>организациями, выплачиваемых иностранным организациям, действующим в интересах третьих лиц;</w:t>
      </w:r>
    </w:p>
    <w:p w:rsidR="00A75B01" w:rsidRDefault="00A75B01">
      <w:pPr>
        <w:pStyle w:val="21"/>
        <w:shd w:val="clear" w:color="auto" w:fill="auto"/>
        <w:tabs>
          <w:tab w:val="right" w:pos="2264"/>
          <w:tab w:val="center" w:pos="2475"/>
          <w:tab w:val="left" w:pos="2811"/>
          <w:tab w:val="left" w:pos="3364"/>
          <w:tab w:val="right" w:pos="5235"/>
          <w:tab w:val="center" w:pos="6033"/>
          <w:tab w:val="left" w:pos="6826"/>
          <w:tab w:val="right" w:pos="9650"/>
        </w:tabs>
        <w:spacing w:before="0"/>
        <w:ind w:firstLine="580"/>
      </w:pPr>
      <w:r>
        <w:t>Статьей</w:t>
      </w:r>
      <w:r>
        <w:tab/>
        <w:t>214.9</w:t>
      </w:r>
      <w:r>
        <w:tab/>
        <w:t>НК</w:t>
      </w:r>
      <w:r>
        <w:tab/>
        <w:t>РФ.</w:t>
      </w:r>
      <w:r>
        <w:tab/>
        <w:t>Данной</w:t>
      </w:r>
      <w:r>
        <w:tab/>
        <w:t>статьей</w:t>
      </w:r>
      <w:r>
        <w:tab/>
        <w:t>установлены</w:t>
      </w:r>
      <w:r>
        <w:tab/>
        <w:t>особенности</w:t>
      </w:r>
      <w:r>
        <w:tab/>
        <w:t>определения</w:t>
      </w:r>
    </w:p>
    <w:p w:rsidR="00A75B01" w:rsidRDefault="00A75B01">
      <w:pPr>
        <w:pStyle w:val="21"/>
        <w:shd w:val="clear" w:color="auto" w:fill="auto"/>
        <w:spacing w:before="0"/>
        <w:ind w:firstLine="0"/>
      </w:pPr>
      <w:r>
        <w:t>налоговой базы, учета убытков, исчисления и уплаты налога по операциям, учитываемым на индивидуальном инвестиционном счете;</w:t>
      </w:r>
    </w:p>
    <w:p w:rsidR="00A75B01" w:rsidRDefault="00A75B01">
      <w:pPr>
        <w:pStyle w:val="21"/>
        <w:shd w:val="clear" w:color="auto" w:fill="auto"/>
        <w:spacing w:before="0"/>
        <w:ind w:firstLine="580"/>
      </w:pPr>
      <w:r>
        <w:t>Статьей 219.1 НК РФ. Данной статьей установлены особенности применения инвестиционных налоговых вычетов;</w:t>
      </w:r>
    </w:p>
    <w:p w:rsidR="00A75B01" w:rsidRDefault="00A75B01">
      <w:pPr>
        <w:pStyle w:val="21"/>
        <w:shd w:val="clear" w:color="auto" w:fill="auto"/>
        <w:spacing w:before="0"/>
        <w:ind w:firstLine="580"/>
      </w:pPr>
      <w:r>
        <w:t>Статьей 220.1 НК РФ. Данной статьей установлен порядок переноса на будущее убытков от операций с ценными бумагами и операций с производными финансовыми инструментами;</w:t>
      </w:r>
    </w:p>
    <w:p w:rsidR="00A75B01" w:rsidRDefault="00A75B01">
      <w:pPr>
        <w:pStyle w:val="21"/>
        <w:shd w:val="clear" w:color="auto" w:fill="auto"/>
        <w:spacing w:before="0"/>
        <w:ind w:firstLine="580"/>
      </w:pPr>
      <w:r>
        <w:t>Статьей 226.1 НК РФ. Данной статьей определены действия налоговых агентов по исчислению и удержанию НДФЛ при осуществлении операций с ценными бумагами, операций с производными финансовыми инструментами;</w:t>
      </w:r>
    </w:p>
    <w:p w:rsidR="00A75B01" w:rsidRDefault="00A75B01">
      <w:pPr>
        <w:pStyle w:val="21"/>
        <w:shd w:val="clear" w:color="auto" w:fill="auto"/>
        <w:spacing w:before="0"/>
        <w:ind w:firstLine="580"/>
      </w:pPr>
      <w:bookmarkStart w:id="6" w:name="bookmark4"/>
      <w:r>
        <w:t>Статьей 231 НК РФ. Данной статьей определен порядок взыскания и возврата излишне удержанного налога;</w:t>
      </w:r>
      <w:bookmarkEnd w:id="6"/>
    </w:p>
    <w:p w:rsidR="00A75B01" w:rsidRDefault="00A75B01">
      <w:pPr>
        <w:pStyle w:val="21"/>
        <w:shd w:val="clear" w:color="auto" w:fill="auto"/>
        <w:spacing w:before="0" w:after="360"/>
        <w:ind w:firstLine="580"/>
      </w:pPr>
      <w:r>
        <w:t>Статьей 217 НК РФ. Данной статьей определены налоговые льготы.</w:t>
      </w:r>
    </w:p>
    <w:p w:rsidR="00A75B01" w:rsidRDefault="00A75B01">
      <w:pPr>
        <w:pStyle w:val="11"/>
        <w:keepNext/>
        <w:keepLines/>
        <w:shd w:val="clear" w:color="auto" w:fill="auto"/>
        <w:spacing w:after="0" w:line="274" w:lineRule="exact"/>
        <w:ind w:firstLine="0"/>
      </w:pPr>
      <w:bookmarkStart w:id="7" w:name="_Toc66697466"/>
      <w:bookmarkStart w:id="8" w:name="_Toc66707241"/>
      <w:r>
        <w:t>Налогоплательщик и налоговый агент</w:t>
      </w:r>
      <w:bookmarkEnd w:id="7"/>
      <w:bookmarkEnd w:id="8"/>
    </w:p>
    <w:p w:rsidR="00A75B01" w:rsidRDefault="00A75B01">
      <w:pPr>
        <w:pStyle w:val="21"/>
        <w:shd w:val="clear" w:color="auto" w:fill="auto"/>
        <w:spacing w:before="0"/>
        <w:ind w:firstLine="580"/>
      </w:pPr>
      <w:r>
        <w:t>В целях исчисления НДФЛ налоговое законодательство оперирует двумя понятиями: налогоплательщик и налоговый агент.</w:t>
      </w:r>
    </w:p>
    <w:p w:rsidR="00A75B01" w:rsidRDefault="00A75B01">
      <w:pPr>
        <w:pStyle w:val="21"/>
        <w:shd w:val="clear" w:color="auto" w:fill="auto"/>
        <w:spacing w:before="0"/>
        <w:ind w:firstLine="580"/>
      </w:pPr>
      <w:r>
        <w:t>Налогоплательщиками признаются физические лица, получающие доходы от источников в Российской Федерации и от источников за ее пределами (статьи 207 и 209 НК РФ). Соответственно, физические лица, заключившие договоры с ООО «Инвестиционная палата» на брокерское, депозитарное обслуживание, договоры доверительного управления, являются налогоплательщиками НДФЛ по доходам, поученных в рамках указанных договоров.</w:t>
      </w:r>
    </w:p>
    <w:p w:rsidR="00A75B01" w:rsidRDefault="00A75B01">
      <w:pPr>
        <w:pStyle w:val="21"/>
        <w:shd w:val="clear" w:color="auto" w:fill="auto"/>
        <w:spacing w:before="0"/>
        <w:ind w:firstLine="580"/>
      </w:pPr>
      <w:r>
        <w:t>Налоговый агент - это то лицо, которое в силу требований законодательства исчисляет, удерживает и уплачивает налог (НДФЛ) за налогоплательщика.</w:t>
      </w:r>
    </w:p>
    <w:p w:rsidR="00A75B01" w:rsidRDefault="00A75B01">
      <w:pPr>
        <w:pStyle w:val="21"/>
        <w:shd w:val="clear" w:color="auto" w:fill="auto"/>
        <w:spacing w:before="0"/>
        <w:ind w:firstLine="580"/>
      </w:pPr>
      <w:r>
        <w:t>ООО «Инвестиционная палата», осуществляющее в интересах клиента операции с ценными бумагами и (или) операции с производными финансовыми инструментами, на основании договоров на брокерское, депозитарное обслуживание, договора доверительного управления, признается налоговым агентом (статья 226.1 НК РФ).</w:t>
      </w:r>
    </w:p>
    <w:p w:rsidR="00A75B01" w:rsidRDefault="00A75B01">
      <w:pPr>
        <w:pStyle w:val="21"/>
        <w:shd w:val="clear" w:color="auto" w:fill="auto"/>
        <w:spacing w:before="0"/>
        <w:ind w:firstLine="580"/>
      </w:pPr>
      <w:r>
        <w:t>Соответственно в обязанности ООО «Инвестиционная палата» входит исчисление, удержание и перечисление сумм НДФЛ в налоговые органы по всем операциям, осуществленным по поручению и в интересах клиента.</w:t>
      </w:r>
    </w:p>
    <w:p w:rsidR="00A75B01" w:rsidRDefault="00A75B01">
      <w:pPr>
        <w:pStyle w:val="21"/>
        <w:shd w:val="clear" w:color="auto" w:fill="auto"/>
        <w:spacing w:before="0"/>
        <w:ind w:firstLine="580"/>
      </w:pPr>
      <w:r>
        <w:t>Налогоплательщику НЕ предоставлено право выбора уплаты налога через налогового агента или самостоятельно, при подаче налоговой декларации. Впрочем, как и исполнение функции налогового агента, является обязанностью, а не правом.</w:t>
      </w:r>
    </w:p>
    <w:p w:rsidR="00A75B01" w:rsidRDefault="00A75B01">
      <w:pPr>
        <w:pStyle w:val="21"/>
        <w:shd w:val="clear" w:color="auto" w:fill="auto"/>
        <w:spacing w:before="0" w:after="387"/>
        <w:ind w:firstLine="580"/>
      </w:pPr>
      <w:bookmarkStart w:id="9" w:name="bookmark6"/>
      <w:r>
        <w:t>Таким образом, если клиентом в рамках договоров на брокерское, депозитарное обслуживание, договора доверительного управления будет получен доход, то исчислить, удержать и заплатить в бюджет налог с этого дохода обязано ООО «Инвестиционная палата».</w:t>
      </w:r>
      <w:bookmarkEnd w:id="9"/>
    </w:p>
    <w:p w:rsidR="00A75B01" w:rsidRDefault="00A75B01">
      <w:pPr>
        <w:pStyle w:val="11"/>
        <w:keepNext/>
        <w:keepLines/>
        <w:shd w:val="clear" w:color="auto" w:fill="auto"/>
        <w:spacing w:after="0" w:line="240" w:lineRule="exact"/>
        <w:ind w:firstLine="0"/>
      </w:pPr>
      <w:bookmarkStart w:id="10" w:name="_Toc66697467"/>
      <w:bookmarkStart w:id="11" w:name="_Toc66707242"/>
      <w:r>
        <w:t>Исчисление налога, удержание, уплата и возврат</w:t>
      </w:r>
      <w:bookmarkEnd w:id="10"/>
      <w:bookmarkEnd w:id="11"/>
    </w:p>
    <w:p w:rsidR="00A75B01" w:rsidRDefault="00A75B01">
      <w:pPr>
        <w:pStyle w:val="21"/>
        <w:shd w:val="clear" w:color="auto" w:fill="auto"/>
        <w:spacing w:before="0"/>
        <w:ind w:firstLine="580"/>
      </w:pPr>
      <w:r>
        <w:t>Расчет налоговой базы и налога по доходам каждого клиента, его удержание и уплата производится налоговым агентом - ООО «Инвестиционная палата». Информация о налоговой базе и суммах налога хранится в электронном виде в специальных регистрах налогового учета. Информация не является публичной.</w:t>
      </w:r>
    </w:p>
    <w:p w:rsidR="00A75B01" w:rsidRDefault="00A75B01" w:rsidP="0095321B">
      <w:pPr>
        <w:pStyle w:val="21"/>
        <w:shd w:val="clear" w:color="auto" w:fill="auto"/>
        <w:spacing w:before="0"/>
        <w:ind w:firstLine="580"/>
      </w:pPr>
      <w:r>
        <w:t xml:space="preserve">Ежегодно, не позднее 1 марта года, следующего за истекшим налоговым периодом (календарный год), ООО «Инвестиционная палата» представляет в налоговый орган по месту своего учета сведения о доходах физических лиц - клиентов, о суммах начисленных, удержанных и перечисленных в бюджетную систему за истекший налоговый период НДФЛ по форме, 6-НДФЛ. </w:t>
      </w:r>
    </w:p>
    <w:p w:rsidR="00A75B01" w:rsidRDefault="00A75B01" w:rsidP="00F17CDA">
      <w:pPr>
        <w:pStyle w:val="21"/>
        <w:shd w:val="clear" w:color="auto" w:fill="auto"/>
        <w:spacing w:before="0"/>
        <w:ind w:firstLine="580"/>
      </w:pPr>
      <w:r>
        <w:t xml:space="preserve">Если по каким либо причинам, в течении отчетного года, </w:t>
      </w:r>
      <w:r w:rsidRPr="0095321B">
        <w:t>удержать у налогоплательщика полностью или частично исчисленную сумму налога</w:t>
      </w:r>
      <w:r>
        <w:t xml:space="preserve"> не получилось, то об этом факте ООО «Инвестиционная палата»  также уведомляет налоговый орган или не позднее 1 марта года, следующего за истекшим годом или в течении месяца после расторжения договора с клиентом. </w:t>
      </w:r>
      <w:r w:rsidRPr="0095321B">
        <w:t xml:space="preserve">Уплата налога в этом случае производится </w:t>
      </w:r>
      <w:r>
        <w:t>клиентом самостоятельно на основании уведомления, полученного клиентом от налогового органа (статья 226.1 пункт 14 НК РФ).</w:t>
      </w:r>
      <w:r w:rsidRPr="0095321B">
        <w:t xml:space="preserve"> </w:t>
      </w:r>
    </w:p>
    <w:p w:rsidR="00A75B01" w:rsidRDefault="00A75B01" w:rsidP="0047558B">
      <w:pPr>
        <w:pStyle w:val="21"/>
        <w:shd w:val="clear" w:color="auto" w:fill="auto"/>
        <w:spacing w:before="0" w:line="278" w:lineRule="exact"/>
        <w:ind w:firstLine="580"/>
      </w:pPr>
      <w:r>
        <w:t xml:space="preserve">Клиент ООО «Инвестиционная палата» имеет право получить персональную информацию о полученных им доходах и удержанном налоге (НДФЛ). Для чего, клиенту необходимо обратиться с заявлением в ООО «Инвестиционная палата». Для получения справки по итогам года, необходимо обратится не ранее 1 марта года, следующего за отчетным периодом. По истечении 10 дней с момента получения заявления, Клиенту будет предоставлена справка по форме </w:t>
      </w:r>
      <w:r w:rsidRPr="004D6754">
        <w:t xml:space="preserve">КНД 1175018 </w:t>
      </w:r>
      <w:r>
        <w:t>и иная необходимая информация (пункт 3 статьи 230 НКРФ). Данную справку также можно получить в личном кабинете налогоплательщика.</w:t>
      </w:r>
    </w:p>
    <w:p w:rsidR="00A75B01" w:rsidRDefault="00A75B01" w:rsidP="001A08CA">
      <w:pPr>
        <w:pStyle w:val="21"/>
        <w:shd w:val="clear" w:color="auto" w:fill="auto"/>
        <w:spacing w:before="0" w:after="240"/>
        <w:ind w:firstLine="600"/>
      </w:pPr>
      <w:r>
        <w:t>По заявлению клиента ему может быть предоставлен расчет налога на доходы физических лиц по операциям с ценными бумагами и производными финансовыми инструментами за период.</w:t>
      </w:r>
    </w:p>
    <w:p w:rsidR="00A75B01" w:rsidRDefault="00A75B01" w:rsidP="001A08CA">
      <w:pPr>
        <w:pStyle w:val="21"/>
        <w:shd w:val="clear" w:color="auto" w:fill="auto"/>
        <w:spacing w:before="0" w:after="240"/>
        <w:ind w:firstLine="600"/>
      </w:pPr>
      <w:r>
        <w:t>Налог из доходов клиентов, рассчитывается и удерживается ООО «Инвестиционная палата» в следующие сроки (п.7 ст.226.1 НК РФ):</w:t>
      </w:r>
    </w:p>
    <w:p w:rsidR="00A75B01" w:rsidRDefault="00A75B01" w:rsidP="0038368E">
      <w:pPr>
        <w:pStyle w:val="21"/>
        <w:numPr>
          <w:ilvl w:val="0"/>
          <w:numId w:val="37"/>
        </w:numPr>
        <w:shd w:val="clear" w:color="auto" w:fill="auto"/>
        <w:tabs>
          <w:tab w:val="left" w:pos="1157"/>
        </w:tabs>
        <w:spacing w:before="0" w:line="283" w:lineRule="exact"/>
      </w:pPr>
      <w:r>
        <w:t>По окончании налогового периода за истекший год;</w:t>
      </w:r>
    </w:p>
    <w:p w:rsidR="00A75B01" w:rsidRDefault="00A75B01" w:rsidP="0038368E">
      <w:pPr>
        <w:pStyle w:val="21"/>
        <w:numPr>
          <w:ilvl w:val="0"/>
          <w:numId w:val="37"/>
        </w:numPr>
        <w:shd w:val="clear" w:color="auto" w:fill="auto"/>
        <w:tabs>
          <w:tab w:val="left" w:pos="1157"/>
        </w:tabs>
        <w:spacing w:before="0" w:line="283" w:lineRule="exact"/>
        <w:jc w:val="left"/>
      </w:pPr>
      <w:r>
        <w:t>При выплате денежных средств (выводе ценных бумаг) - до истечения налогового периода;</w:t>
      </w:r>
    </w:p>
    <w:p w:rsidR="00A75B01" w:rsidRDefault="00A75B01" w:rsidP="0038368E">
      <w:pPr>
        <w:pStyle w:val="21"/>
        <w:numPr>
          <w:ilvl w:val="0"/>
          <w:numId w:val="37"/>
        </w:numPr>
        <w:shd w:val="clear" w:color="auto" w:fill="auto"/>
        <w:tabs>
          <w:tab w:val="left" w:pos="1157"/>
        </w:tabs>
        <w:spacing w:before="0" w:after="194" w:line="240" w:lineRule="exact"/>
      </w:pPr>
      <w:r>
        <w:t>В момент расторжения договора на брокерское обслуживание.</w:t>
      </w:r>
    </w:p>
    <w:p w:rsidR="00A75B01" w:rsidRDefault="00A75B01">
      <w:pPr>
        <w:pStyle w:val="21"/>
        <w:shd w:val="clear" w:color="auto" w:fill="auto"/>
        <w:spacing w:before="0" w:after="248" w:line="283" w:lineRule="exact"/>
        <w:ind w:firstLine="600"/>
      </w:pPr>
      <w:r>
        <w:t>Уплата в бюджет НДФЛ, производится ООО «Инвестиционная палата» со специального брокерского счета за счет средств, удержанных у клиента.</w:t>
      </w:r>
    </w:p>
    <w:p w:rsidR="00A75B01" w:rsidRDefault="00A75B01">
      <w:pPr>
        <w:pStyle w:val="21"/>
        <w:shd w:val="clear" w:color="auto" w:fill="auto"/>
        <w:spacing w:before="0"/>
        <w:ind w:firstLine="600"/>
      </w:pPr>
      <w:r>
        <w:t>При выплате денежных средств (выводе ценных бумаг) клиенту до истечения налогового периода или до истечения срока действия договора налог уплачивается из денежных средств клиента в следующем порядке:</w:t>
      </w:r>
    </w:p>
    <w:p w:rsidR="00A75B01" w:rsidRDefault="00A75B01" w:rsidP="0038368E">
      <w:pPr>
        <w:pStyle w:val="21"/>
        <w:numPr>
          <w:ilvl w:val="0"/>
          <w:numId w:val="38"/>
        </w:numPr>
        <w:shd w:val="clear" w:color="auto" w:fill="auto"/>
        <w:spacing w:before="0"/>
      </w:pPr>
      <w:r>
        <w:t xml:space="preserve">Если сумма налога, </w:t>
      </w:r>
      <w:r w:rsidRPr="00BE0933">
        <w:t>рассчитанного нарастающим итогом</w:t>
      </w:r>
      <w:r>
        <w:t xml:space="preserve"> с начала года, превышает сумму текущей выплаты денежных средств (дохода в натуральной форме), налог исчисляется с суммы текущей выплаты.</w:t>
      </w:r>
    </w:p>
    <w:p w:rsidR="00A75B01" w:rsidRDefault="00A75B01" w:rsidP="0038368E">
      <w:pPr>
        <w:pStyle w:val="21"/>
        <w:numPr>
          <w:ilvl w:val="0"/>
          <w:numId w:val="38"/>
        </w:numPr>
        <w:shd w:val="clear" w:color="auto" w:fill="auto"/>
        <w:tabs>
          <w:tab w:val="left" w:pos="1357"/>
        </w:tabs>
        <w:spacing w:before="0" w:after="236"/>
      </w:pPr>
      <w:r>
        <w:t>Если сумма налога рассчитанного</w:t>
      </w:r>
      <w:r w:rsidRPr="00BE0933">
        <w:t xml:space="preserve"> нарастающим итогом</w:t>
      </w:r>
      <w:r>
        <w:t xml:space="preserve"> с начала года, не превышает суммы текущей выплаты денежных средств (дохода в натуральной форме), налог исчисляется с суммы рассчитанного нарастающим итогом финансового результата.</w:t>
      </w:r>
    </w:p>
    <w:p w:rsidR="00A75B01" w:rsidRDefault="00A75B01" w:rsidP="00BE0933">
      <w:pPr>
        <w:pStyle w:val="51"/>
        <w:shd w:val="clear" w:color="auto" w:fill="auto"/>
        <w:spacing w:before="0"/>
        <w:ind w:firstLine="600"/>
      </w:pPr>
      <w:r>
        <w:t>Пример:</w:t>
      </w:r>
    </w:p>
    <w:p w:rsidR="00A75B01" w:rsidRDefault="00A75B01" w:rsidP="00BE0933">
      <w:pPr>
        <w:pStyle w:val="51"/>
        <w:numPr>
          <w:ilvl w:val="0"/>
          <w:numId w:val="3"/>
        </w:numPr>
        <w:shd w:val="clear" w:color="auto" w:fill="auto"/>
        <w:tabs>
          <w:tab w:val="left" w:pos="888"/>
        </w:tabs>
        <w:spacing w:before="0"/>
        <w:ind w:firstLine="0"/>
        <w:jc w:val="left"/>
      </w:pPr>
      <w:r>
        <w:t>Сумма налога, подлежащая удержанию из дохода клиента, на дату вывода денежных средств, не превышает сумму вывода.</w:t>
      </w:r>
    </w:p>
    <w:p w:rsidR="00A75B01" w:rsidRDefault="00A75B01" w:rsidP="002A4DEA">
      <w:pPr>
        <w:pStyle w:val="51"/>
        <w:shd w:val="clear" w:color="auto" w:fill="auto"/>
        <w:tabs>
          <w:tab w:val="left" w:pos="888"/>
        </w:tabs>
        <w:spacing w:before="0"/>
        <w:ind w:firstLine="0"/>
        <w:jc w:val="left"/>
      </w:pPr>
      <w:r>
        <w:t>Сумма НДФЛ, подлежащая удержанию – 260 рублей.</w:t>
      </w:r>
    </w:p>
    <w:p w:rsidR="00A75B01" w:rsidRDefault="00A75B01" w:rsidP="002A4DEA">
      <w:pPr>
        <w:pStyle w:val="51"/>
        <w:shd w:val="clear" w:color="auto" w:fill="auto"/>
        <w:tabs>
          <w:tab w:val="left" w:pos="888"/>
        </w:tabs>
        <w:spacing w:before="0"/>
        <w:ind w:firstLine="0"/>
        <w:jc w:val="left"/>
      </w:pPr>
      <w:r>
        <w:t>Сумма денежных средств, которые клиент хочет вывести – 270 рублей.</w:t>
      </w:r>
    </w:p>
    <w:p w:rsidR="00A75B01" w:rsidRDefault="00A75B01" w:rsidP="002A4DEA">
      <w:pPr>
        <w:pStyle w:val="51"/>
        <w:shd w:val="clear" w:color="auto" w:fill="auto"/>
        <w:tabs>
          <w:tab w:val="left" w:pos="888"/>
        </w:tabs>
        <w:spacing w:before="0"/>
        <w:ind w:firstLine="543"/>
        <w:jc w:val="left"/>
      </w:pPr>
      <w:r>
        <w:t>решение</w:t>
      </w:r>
    </w:p>
    <w:p w:rsidR="00A75B01" w:rsidRPr="002A4DEA" w:rsidRDefault="00A75B01" w:rsidP="00BE0933">
      <w:pPr>
        <w:pStyle w:val="21"/>
        <w:numPr>
          <w:ilvl w:val="0"/>
          <w:numId w:val="2"/>
        </w:numPr>
        <w:shd w:val="clear" w:color="auto" w:fill="auto"/>
        <w:tabs>
          <w:tab w:val="left" w:pos="1357"/>
        </w:tabs>
        <w:spacing w:before="0" w:after="236"/>
        <w:ind w:left="1320" w:hanging="380"/>
        <w:rPr>
          <w:i/>
        </w:rPr>
      </w:pPr>
      <w:r w:rsidRPr="002A4DEA">
        <w:rPr>
          <w:i/>
        </w:rPr>
        <w:t xml:space="preserve">Сравнивается сумма НДФЛ и сумма вывода: 260 &lt; </w:t>
      </w:r>
      <w:r>
        <w:rPr>
          <w:i/>
        </w:rPr>
        <w:t>270</w:t>
      </w:r>
      <w:r w:rsidRPr="002A4DEA">
        <w:rPr>
          <w:i/>
        </w:rPr>
        <w:t>, следовательно, НДФЛ будет</w:t>
      </w:r>
      <w:r>
        <w:rPr>
          <w:i/>
        </w:rPr>
        <w:t xml:space="preserve"> удержан в размере 260 рублей. Клиент получит 10 рублей.</w:t>
      </w:r>
    </w:p>
    <w:p w:rsidR="00A75B01" w:rsidRDefault="00A75B01">
      <w:pPr>
        <w:pStyle w:val="51"/>
        <w:numPr>
          <w:ilvl w:val="0"/>
          <w:numId w:val="3"/>
        </w:numPr>
        <w:shd w:val="clear" w:color="auto" w:fill="auto"/>
        <w:tabs>
          <w:tab w:val="left" w:pos="888"/>
        </w:tabs>
        <w:spacing w:before="0"/>
        <w:ind w:firstLine="0"/>
        <w:jc w:val="left"/>
      </w:pPr>
      <w:r>
        <w:t>Сумма налога, подлежащая удержанию из дохода клиента, на дату вывода денежных средств, превышает сумму вывода.</w:t>
      </w:r>
    </w:p>
    <w:p w:rsidR="00A75B01" w:rsidRDefault="00A75B01" w:rsidP="002A4DEA">
      <w:pPr>
        <w:pStyle w:val="51"/>
        <w:shd w:val="clear" w:color="auto" w:fill="auto"/>
        <w:tabs>
          <w:tab w:val="left" w:pos="888"/>
        </w:tabs>
        <w:spacing w:before="0"/>
        <w:ind w:firstLine="0"/>
        <w:jc w:val="left"/>
      </w:pPr>
      <w:r>
        <w:t>Сумма НДФЛ, подлежащая удержанию – 260 рублей.</w:t>
      </w:r>
    </w:p>
    <w:p w:rsidR="00A75B01" w:rsidRDefault="00A75B01" w:rsidP="002A4DEA">
      <w:pPr>
        <w:pStyle w:val="51"/>
        <w:shd w:val="clear" w:color="auto" w:fill="auto"/>
        <w:tabs>
          <w:tab w:val="left" w:pos="888"/>
        </w:tabs>
        <w:spacing w:before="0"/>
        <w:ind w:firstLine="0"/>
        <w:jc w:val="left"/>
      </w:pPr>
      <w:r>
        <w:t>Сумма денежных средств, которые клиент хочет вывести – 250 рублей.</w:t>
      </w:r>
    </w:p>
    <w:p w:rsidR="00A75B01" w:rsidRDefault="00A75B01">
      <w:pPr>
        <w:rPr>
          <w:sz w:val="2"/>
          <w:szCs w:val="2"/>
        </w:rPr>
      </w:pPr>
    </w:p>
    <w:p w:rsidR="00A75B01" w:rsidRDefault="00A75B01" w:rsidP="002A4DEA">
      <w:pPr>
        <w:pStyle w:val="51"/>
        <w:shd w:val="clear" w:color="auto" w:fill="auto"/>
        <w:tabs>
          <w:tab w:val="left" w:pos="888"/>
        </w:tabs>
        <w:spacing w:before="0"/>
        <w:ind w:firstLine="543"/>
        <w:jc w:val="left"/>
      </w:pPr>
      <w:r>
        <w:t>решение</w:t>
      </w:r>
    </w:p>
    <w:p w:rsidR="00A75B01" w:rsidRPr="002A4DEA" w:rsidRDefault="00A75B01" w:rsidP="002A4DEA">
      <w:pPr>
        <w:pStyle w:val="21"/>
        <w:numPr>
          <w:ilvl w:val="0"/>
          <w:numId w:val="2"/>
        </w:numPr>
        <w:shd w:val="clear" w:color="auto" w:fill="auto"/>
        <w:tabs>
          <w:tab w:val="left" w:pos="1357"/>
        </w:tabs>
        <w:spacing w:before="0" w:after="236"/>
        <w:ind w:left="1320" w:hanging="380"/>
        <w:rPr>
          <w:i/>
        </w:rPr>
      </w:pPr>
      <w:r w:rsidRPr="002A4DEA">
        <w:rPr>
          <w:i/>
        </w:rPr>
        <w:t>Сравнивается сумма НДФЛ и сумма вывода: 260 &gt;</w:t>
      </w:r>
      <w:r>
        <w:rPr>
          <w:i/>
        </w:rPr>
        <w:t>2</w:t>
      </w:r>
      <w:r w:rsidRPr="002A4DEA">
        <w:rPr>
          <w:i/>
        </w:rPr>
        <w:t>5</w:t>
      </w:r>
      <w:r>
        <w:rPr>
          <w:i/>
        </w:rPr>
        <w:t>0</w:t>
      </w:r>
      <w:r w:rsidRPr="002A4DEA">
        <w:rPr>
          <w:i/>
        </w:rPr>
        <w:t>, следовательно, НДФЛ будет</w:t>
      </w:r>
      <w:r>
        <w:rPr>
          <w:i/>
        </w:rPr>
        <w:t xml:space="preserve"> удержан с суммы выплаты 250 рублей в размере 33 рубля(=2</w:t>
      </w:r>
      <w:r w:rsidRPr="002A4DEA">
        <w:rPr>
          <w:i/>
        </w:rPr>
        <w:t>5</w:t>
      </w:r>
      <w:r>
        <w:rPr>
          <w:i/>
        </w:rPr>
        <w:t>0 рублей</w:t>
      </w:r>
      <w:r w:rsidRPr="002A4DEA">
        <w:rPr>
          <w:i/>
        </w:rPr>
        <w:t xml:space="preserve"> </w:t>
      </w:r>
      <w:r>
        <w:rPr>
          <w:i/>
        </w:rPr>
        <w:t>х 13%).  Клиент получит 217 рублей(=250рублей-33рубля).</w:t>
      </w:r>
    </w:p>
    <w:p w:rsidR="00A75B01" w:rsidRDefault="00A75B01">
      <w:pPr>
        <w:pStyle w:val="21"/>
        <w:shd w:val="clear" w:color="auto" w:fill="auto"/>
        <w:spacing w:before="0"/>
        <w:ind w:firstLine="560"/>
      </w:pPr>
      <w:r>
        <w:t>Если клиент забирает ценные бумаги (выводит их) сумма выплаты определяется как сумма фактически произведенных и документально подтвержденных расходов на приобретение ценных бумаг, передаваемых клиенту.</w:t>
      </w:r>
    </w:p>
    <w:p w:rsidR="00A75B01" w:rsidRDefault="00A75B01">
      <w:pPr>
        <w:pStyle w:val="21"/>
        <w:shd w:val="clear" w:color="auto" w:fill="auto"/>
        <w:spacing w:before="0"/>
        <w:ind w:firstLine="560"/>
      </w:pPr>
      <w:r>
        <w:t>При выплате денежных средств (выводе ценных бумаг) более одного раза в течение налогового периода исчисление суммы налога производится нарастающим итогом с зачетом ранее уплаченных сумм налога.</w:t>
      </w:r>
    </w:p>
    <w:p w:rsidR="00A75B01" w:rsidRDefault="00A75B01">
      <w:pPr>
        <w:pStyle w:val="21"/>
        <w:shd w:val="clear" w:color="auto" w:fill="auto"/>
        <w:spacing w:before="0"/>
        <w:ind w:firstLine="560"/>
      </w:pPr>
      <w:r>
        <w:t>Удержание суммы НДФЛ производится ООО «Инвестиционная палата» из рублевых денежных средств клиента, находящихся на брокерских счетах, на специальных счетах доверительного управляющего, исходя из остатка рублевых денежных средств клиента, сформировавшегося на дату удержания налога. При выводе денежных средств в течении налогового периода (год), сумма налога удерживается из выводимых денежных средств. По окончании налогового периода налог удерживается из остатка денежных средств на счетах клиента.</w:t>
      </w:r>
    </w:p>
    <w:p w:rsidR="00A75B01" w:rsidRDefault="00A75B01">
      <w:pPr>
        <w:pStyle w:val="21"/>
        <w:shd w:val="clear" w:color="auto" w:fill="auto"/>
        <w:spacing w:before="0"/>
        <w:ind w:firstLine="560"/>
      </w:pPr>
      <w:r>
        <w:t xml:space="preserve">При невозможности удержать полностью или частично исчисленную сумму налога вследствие прекращения срока действия договора, или недостаточности для удержания денежных средств, задолженность по налогу будет передана на взыскание в налоговый орган по месту регистрации клиента. Уплата налога в этом случае производится налогоплательщиком самостоятельно не позднее 1 декабря года, следующего за истекшим налоговым периодом </w:t>
      </w:r>
      <w:r>
        <w:rPr>
          <w:color w:val="auto"/>
        </w:rPr>
        <w:t>на основании направленного налоговым органом налогового уведомления</w:t>
      </w:r>
      <w:r>
        <w:t xml:space="preserve"> (ст.228 НК РФ). </w:t>
      </w:r>
    </w:p>
    <w:p w:rsidR="00A75B01" w:rsidRDefault="00A75B01">
      <w:pPr>
        <w:pStyle w:val="21"/>
        <w:shd w:val="clear" w:color="auto" w:fill="auto"/>
        <w:spacing w:before="0"/>
        <w:ind w:firstLine="560"/>
      </w:pPr>
      <w:r>
        <w:t>В случае выплаты денежных средств в иностранной валюте или вывода ценных бумаг при отсутствии рублевых денежных средств, у клиента возникает задолженность по налогу, которая будет удержана ООО «Инвестиционная палата» при поступлении рублевых денежных средств на брокерский счет клиента.</w:t>
      </w:r>
    </w:p>
    <w:p w:rsidR="00A75B01" w:rsidRDefault="00A75B01">
      <w:pPr>
        <w:pStyle w:val="21"/>
        <w:shd w:val="clear" w:color="auto" w:fill="auto"/>
        <w:spacing w:before="0"/>
        <w:ind w:firstLine="560"/>
      </w:pPr>
      <w:r>
        <w:t>Удержание суммы НДФЛ по операциям, не связанным с индивидуальным инвестиционным счетом, из денежных средств клиента, размещенных на индивидуальном инвестиционном счете, не допускается (пункт 10 статья 226.1 НК РФ).</w:t>
      </w:r>
    </w:p>
    <w:p w:rsidR="00A75B01" w:rsidRDefault="00A75B01">
      <w:pPr>
        <w:pStyle w:val="21"/>
        <w:shd w:val="clear" w:color="auto" w:fill="auto"/>
        <w:spacing w:before="0"/>
        <w:ind w:firstLine="560"/>
      </w:pPr>
      <w:r>
        <w:t>Если ООО «Инвестиционная палата» налог из дохода клиента в силу разных причин удержан излишне, излишне удержанная сумма налога подлежит возврату клиенту на основании его письменного заявления. Заявление на возврат заполняется клиентом в произвольной письменной форме.</w:t>
      </w:r>
    </w:p>
    <w:p w:rsidR="00A75B01" w:rsidRDefault="00A75B01">
      <w:pPr>
        <w:pStyle w:val="21"/>
        <w:shd w:val="clear" w:color="auto" w:fill="auto"/>
        <w:spacing w:before="0"/>
        <w:ind w:firstLine="560"/>
      </w:pPr>
      <w:r>
        <w:t>Возврат налога производится в течение трех месяцев со дня получения соответствующего заявления от клиента (пункт 1 статьи 232 НК РФ).</w:t>
      </w:r>
    </w:p>
    <w:p w:rsidR="00A75B01" w:rsidRDefault="00A75B01">
      <w:pPr>
        <w:pStyle w:val="21"/>
        <w:shd w:val="clear" w:color="auto" w:fill="auto"/>
        <w:spacing w:before="0"/>
        <w:ind w:firstLine="560"/>
      </w:pPr>
      <w:r>
        <w:t>Возврат клиенту излишне удержанных сумм налога производится путем увеличения денежных средств клиента на его брокерском счете или на счете доверительного управляющего.</w:t>
      </w:r>
    </w:p>
    <w:p w:rsidR="00A75B01" w:rsidRDefault="00A75B01">
      <w:pPr>
        <w:pStyle w:val="21"/>
        <w:shd w:val="clear" w:color="auto" w:fill="auto"/>
        <w:spacing w:before="0" w:after="56"/>
        <w:ind w:firstLine="560"/>
      </w:pPr>
      <w:bookmarkStart w:id="12" w:name="bookmark8"/>
      <w:r>
        <w:t>В случае если возврат излишне удержанной суммы налога осуществляется ООО «Инвестиционная палата» после трех месяцев со дня получения соответствующего заявления от клиента в пользу клиента на сумму излишне удержанного налога, которая не возвращена в установленный срок, начисляются проценты, за каждый календарный день нарушения срока возврата. 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bookmarkEnd w:id="12"/>
    </w:p>
    <w:p w:rsidR="00A75B01" w:rsidRDefault="00A75B01">
      <w:pPr>
        <w:pStyle w:val="21"/>
        <w:shd w:val="clear" w:color="auto" w:fill="auto"/>
        <w:spacing w:before="0" w:after="56"/>
        <w:ind w:firstLine="560"/>
      </w:pPr>
    </w:p>
    <w:p w:rsidR="00A75B01" w:rsidRDefault="00A75B01">
      <w:pPr>
        <w:pStyle w:val="11"/>
        <w:keepNext/>
        <w:keepLines/>
        <w:shd w:val="clear" w:color="auto" w:fill="auto"/>
        <w:spacing w:after="0" w:line="278" w:lineRule="exact"/>
        <w:ind w:firstLine="0"/>
      </w:pPr>
      <w:bookmarkStart w:id="13" w:name="_Toc66697468"/>
      <w:bookmarkStart w:id="14" w:name="_Toc66707243"/>
      <w:r>
        <w:t>Ставки</w:t>
      </w:r>
      <w:bookmarkEnd w:id="13"/>
      <w:bookmarkEnd w:id="14"/>
    </w:p>
    <w:p w:rsidR="00A75B01" w:rsidRDefault="00A75B01">
      <w:pPr>
        <w:pStyle w:val="21"/>
        <w:shd w:val="clear" w:color="auto" w:fill="auto"/>
        <w:spacing w:before="0" w:line="278" w:lineRule="exact"/>
        <w:ind w:firstLine="560"/>
      </w:pPr>
      <w:r>
        <w:t>Налоговая ставка НДФЛ установлена:</w:t>
      </w:r>
    </w:p>
    <w:p w:rsidR="00A75B01" w:rsidRDefault="00A75B01" w:rsidP="0038368E">
      <w:pPr>
        <w:pStyle w:val="21"/>
        <w:tabs>
          <w:tab w:val="left" w:pos="1324"/>
        </w:tabs>
        <w:spacing w:line="278" w:lineRule="exact"/>
        <w:ind w:left="560" w:firstLine="0"/>
      </w:pPr>
      <w:r>
        <w:t>Для физических лиц, налоговых резидентов:</w:t>
      </w:r>
    </w:p>
    <w:p w:rsidR="00A75B01" w:rsidRDefault="00A75B01" w:rsidP="0038368E">
      <w:pPr>
        <w:pStyle w:val="21"/>
        <w:tabs>
          <w:tab w:val="left" w:pos="1324"/>
        </w:tabs>
        <w:spacing w:line="278" w:lineRule="exact"/>
        <w:ind w:left="1324" w:firstLine="0"/>
      </w:pPr>
      <w:r>
        <w:t>13 % - если прибыль (налоговая база) за налоговый период составляет менее 5 миллионов рублей или равна 5 миллионам рублей;</w:t>
      </w:r>
    </w:p>
    <w:p w:rsidR="00A75B01" w:rsidRDefault="00A75B01" w:rsidP="0038368E">
      <w:pPr>
        <w:pStyle w:val="21"/>
        <w:tabs>
          <w:tab w:val="left" w:pos="1324"/>
        </w:tabs>
        <w:spacing w:line="360" w:lineRule="auto"/>
        <w:ind w:left="1324" w:firstLine="0"/>
      </w:pPr>
      <w:r>
        <w:t>650 тысяч рублей и 15 % с прибыли, превышающей 5 миллионов рублей;</w:t>
      </w:r>
    </w:p>
    <w:p w:rsidR="00A75B01" w:rsidRDefault="00A75B01" w:rsidP="0038368E">
      <w:pPr>
        <w:pStyle w:val="21"/>
        <w:tabs>
          <w:tab w:val="left" w:pos="1324"/>
        </w:tabs>
        <w:spacing w:line="360" w:lineRule="auto"/>
        <w:ind w:left="560" w:firstLine="0"/>
      </w:pPr>
      <w:r>
        <w:t xml:space="preserve">Для физических лиц, не являющимися налоговыми резидентами - 30 </w:t>
      </w:r>
      <w:r w:rsidRPr="0030385D">
        <w:rPr>
          <w:i/>
          <w:iCs/>
        </w:rPr>
        <w:t>%.</w:t>
      </w:r>
    </w:p>
    <w:p w:rsidR="00A75B01" w:rsidRDefault="00A75B01" w:rsidP="001A4995">
      <w:pPr>
        <w:pStyle w:val="21"/>
        <w:shd w:val="clear" w:color="auto" w:fill="auto"/>
        <w:spacing w:before="0" w:line="278" w:lineRule="exact"/>
        <w:ind w:firstLine="560"/>
      </w:pPr>
      <w:r>
        <w:t>Налоговыми резидентами признаются (ст.207 НК РФ)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p w:rsidR="00A75B01" w:rsidRPr="001A4995" w:rsidRDefault="00A75B01" w:rsidP="001A4995">
      <w:pPr>
        <w:pStyle w:val="21"/>
        <w:shd w:val="clear" w:color="auto" w:fill="auto"/>
        <w:spacing w:before="0" w:line="278" w:lineRule="exact"/>
        <w:ind w:firstLine="560"/>
      </w:pPr>
      <w:r>
        <w:t xml:space="preserve">На 2020 год налоговым резидентом признается </w:t>
      </w:r>
      <w:r w:rsidRPr="001A4995">
        <w:t>лицо, фактически находящееся в Российской Федерации от 90 до 182 календарных дней включительно в течение периода с 1 января по 31 декабря 2020 года, в случае представления в налоговый орган по месту своего жительства</w:t>
      </w:r>
      <w:r>
        <w:t>, регистрации</w:t>
      </w:r>
      <w:r w:rsidRPr="001A4995">
        <w:t xml:space="preserve"> (по месту пребывания</w:t>
      </w:r>
      <w:r>
        <w:t>)</w:t>
      </w:r>
      <w:r w:rsidRPr="001A4995">
        <w:t xml:space="preserve"> заявления, составленного в произвольной форме. Указанное заявление должно обязательно содержать фамилию, имя, отчество (при его наличии) и идентификационный номер налогоплательщика - физического лица и должно быть представлено в налоговый орган в срок, не позднее 30 апреля</w:t>
      </w:r>
      <w:r>
        <w:t xml:space="preserve"> 2021 года.</w:t>
      </w:r>
    </w:p>
    <w:p w:rsidR="00A75B01" w:rsidRDefault="00A75B01">
      <w:pPr>
        <w:pStyle w:val="21"/>
        <w:shd w:val="clear" w:color="auto" w:fill="auto"/>
        <w:spacing w:before="0"/>
        <w:ind w:firstLine="580"/>
      </w:pPr>
      <w:r>
        <w:t>Независимо от фактического времени нахождения в Российской Федерации налоговыми резидентами Российской Федерации признаются российские военнослужащие, проходящие службу за границей, а также сотрудники органов государственной власти и органов местного самоуправления, командированные на работу за пределы Российской Федерации.</w:t>
      </w:r>
    </w:p>
    <w:p w:rsidR="00A75B01" w:rsidRDefault="00A75B01">
      <w:pPr>
        <w:pStyle w:val="21"/>
        <w:shd w:val="clear" w:color="auto" w:fill="auto"/>
        <w:spacing w:before="0" w:after="229"/>
        <w:ind w:firstLine="580"/>
      </w:pPr>
      <w:r>
        <w:t>Для подтверждения статуса налогового резидента РФ, иностранное физическое лицо предоставляет в ООО «Инвестиционная палата» один из нижеуказанных документов, подтверждающих его местонахождение:</w:t>
      </w:r>
    </w:p>
    <w:p w:rsidR="00A75B01" w:rsidRDefault="00A75B01" w:rsidP="0038368E">
      <w:pPr>
        <w:pStyle w:val="21"/>
        <w:numPr>
          <w:ilvl w:val="0"/>
          <w:numId w:val="40"/>
        </w:numPr>
        <w:shd w:val="clear" w:color="auto" w:fill="auto"/>
        <w:tabs>
          <w:tab w:val="left" w:pos="1144"/>
        </w:tabs>
        <w:spacing w:before="0" w:line="288" w:lineRule="exact"/>
      </w:pPr>
      <w:r>
        <w:t>справка с места работы в Российской Федерации;</w:t>
      </w:r>
    </w:p>
    <w:p w:rsidR="00A75B01" w:rsidRDefault="00A75B01" w:rsidP="0038368E">
      <w:pPr>
        <w:pStyle w:val="21"/>
        <w:numPr>
          <w:ilvl w:val="0"/>
          <w:numId w:val="40"/>
        </w:numPr>
        <w:shd w:val="clear" w:color="auto" w:fill="auto"/>
        <w:tabs>
          <w:tab w:val="left" w:pos="1144"/>
        </w:tabs>
        <w:spacing w:before="0" w:line="288" w:lineRule="exact"/>
      </w:pPr>
      <w:r>
        <w:t>паспорт с отметками о въезде и выезде с территории Российской Федерации;</w:t>
      </w:r>
    </w:p>
    <w:p w:rsidR="00A75B01" w:rsidRDefault="00A75B01" w:rsidP="0038368E">
      <w:pPr>
        <w:pStyle w:val="21"/>
        <w:numPr>
          <w:ilvl w:val="0"/>
          <w:numId w:val="40"/>
        </w:numPr>
        <w:shd w:val="clear" w:color="auto" w:fill="auto"/>
        <w:tabs>
          <w:tab w:val="left" w:pos="1144"/>
        </w:tabs>
        <w:spacing w:before="0" w:after="252" w:line="288" w:lineRule="exact"/>
      </w:pPr>
      <w:r>
        <w:t>миграционная карта.</w:t>
      </w:r>
    </w:p>
    <w:p w:rsidR="00A75B01" w:rsidRDefault="00A75B01">
      <w:pPr>
        <w:pStyle w:val="11"/>
        <w:keepNext/>
        <w:keepLines/>
        <w:shd w:val="clear" w:color="auto" w:fill="auto"/>
        <w:spacing w:after="0" w:line="274" w:lineRule="exact"/>
        <w:ind w:firstLine="0"/>
      </w:pPr>
      <w:bookmarkStart w:id="15" w:name="_Toc66697469"/>
      <w:bookmarkStart w:id="16" w:name="_Toc66707244"/>
      <w:r>
        <w:t>Доходы, расходы и финансовый результат</w:t>
      </w:r>
      <w:bookmarkEnd w:id="15"/>
      <w:bookmarkEnd w:id="16"/>
    </w:p>
    <w:p w:rsidR="00A75B01" w:rsidRDefault="00A75B01">
      <w:pPr>
        <w:pStyle w:val="21"/>
        <w:shd w:val="clear" w:color="auto" w:fill="auto"/>
        <w:spacing w:before="0"/>
        <w:ind w:firstLine="580"/>
      </w:pPr>
      <w:r>
        <w:t>Налоговую базу клиента (прибыль, с которой удерживается налог) в рамках брокерского, депозитарного договора, договора доверительного управления считает налоговый агент - ООО «Инвестиционная палата».</w:t>
      </w:r>
    </w:p>
    <w:p w:rsidR="00A75B01" w:rsidRDefault="00A75B01">
      <w:pPr>
        <w:pStyle w:val="21"/>
        <w:shd w:val="clear" w:color="auto" w:fill="auto"/>
        <w:spacing w:before="0"/>
        <w:ind w:firstLine="580"/>
      </w:pPr>
      <w:r>
        <w:t>При определении налоговой базы учитывается доход, полученный клиентом от операций, осуществленных ООО «Инвестиционная палата», в интересах клиента. При этом операции подразделяются по следующим категориям:</w:t>
      </w:r>
    </w:p>
    <w:p w:rsidR="00A75B01" w:rsidRDefault="00A75B01" w:rsidP="00B9358C">
      <w:pPr>
        <w:pStyle w:val="21"/>
        <w:numPr>
          <w:ilvl w:val="0"/>
          <w:numId w:val="11"/>
        </w:numPr>
        <w:shd w:val="clear" w:color="auto" w:fill="auto"/>
        <w:tabs>
          <w:tab w:val="left" w:pos="1439"/>
        </w:tabs>
        <w:spacing w:before="0"/>
      </w:pPr>
      <w:r>
        <w:t>купля-продажа ценных бумаг, обращающихся на организованном рынке ценных бумаг;</w:t>
      </w:r>
    </w:p>
    <w:p w:rsidR="00A75B01" w:rsidRDefault="00A75B01" w:rsidP="00B9358C">
      <w:pPr>
        <w:pStyle w:val="21"/>
        <w:numPr>
          <w:ilvl w:val="0"/>
          <w:numId w:val="11"/>
        </w:numPr>
        <w:shd w:val="clear" w:color="auto" w:fill="auto"/>
        <w:tabs>
          <w:tab w:val="left" w:pos="1439"/>
        </w:tabs>
        <w:spacing w:before="0"/>
      </w:pPr>
      <w:r>
        <w:t>купля-продажа ценных бумаг, не обращающихся на организованном рынке;</w:t>
      </w:r>
    </w:p>
    <w:p w:rsidR="00A75B01" w:rsidRDefault="00A75B01" w:rsidP="00B9358C">
      <w:pPr>
        <w:pStyle w:val="21"/>
        <w:numPr>
          <w:ilvl w:val="0"/>
          <w:numId w:val="11"/>
        </w:numPr>
        <w:shd w:val="clear" w:color="auto" w:fill="auto"/>
        <w:tabs>
          <w:tab w:val="left" w:pos="1439"/>
        </w:tabs>
        <w:spacing w:before="0"/>
      </w:pPr>
      <w:r>
        <w:t>купля-продажа производных финансовых инструментов, обращающихся на организованном рынке ценных бумаг;</w:t>
      </w:r>
    </w:p>
    <w:p w:rsidR="00A75B01" w:rsidRDefault="00A75B01" w:rsidP="00B9358C">
      <w:pPr>
        <w:pStyle w:val="21"/>
        <w:numPr>
          <w:ilvl w:val="0"/>
          <w:numId w:val="11"/>
        </w:numPr>
        <w:shd w:val="clear" w:color="auto" w:fill="auto"/>
        <w:tabs>
          <w:tab w:val="left" w:pos="1439"/>
        </w:tabs>
        <w:spacing w:before="0"/>
      </w:pPr>
      <w:r>
        <w:t>купля-продажа производных финансовых инструментов, не обращающихся на организованном рынке ценных бумаг;</w:t>
      </w:r>
    </w:p>
    <w:p w:rsidR="00A75B01" w:rsidRDefault="00A75B01" w:rsidP="00B9358C">
      <w:pPr>
        <w:pStyle w:val="21"/>
        <w:numPr>
          <w:ilvl w:val="0"/>
          <w:numId w:val="11"/>
        </w:numPr>
        <w:shd w:val="clear" w:color="auto" w:fill="auto"/>
        <w:tabs>
          <w:tab w:val="left" w:pos="1439"/>
        </w:tabs>
        <w:spacing w:before="0"/>
      </w:pPr>
      <w:r>
        <w:t>сделки РЕПО;</w:t>
      </w:r>
    </w:p>
    <w:p w:rsidR="00A75B01" w:rsidRDefault="00A75B01" w:rsidP="00B9358C">
      <w:pPr>
        <w:pStyle w:val="21"/>
        <w:numPr>
          <w:ilvl w:val="0"/>
          <w:numId w:val="11"/>
        </w:numPr>
        <w:shd w:val="clear" w:color="auto" w:fill="auto"/>
        <w:tabs>
          <w:tab w:val="left" w:pos="1439"/>
        </w:tabs>
        <w:spacing w:before="0"/>
      </w:pPr>
      <w:r>
        <w:t>операции, связанные с открытием (закрытием) коротких позиций;</w:t>
      </w:r>
    </w:p>
    <w:p w:rsidR="00A75B01" w:rsidRDefault="00A75B01" w:rsidP="00B9358C">
      <w:pPr>
        <w:pStyle w:val="21"/>
        <w:numPr>
          <w:ilvl w:val="0"/>
          <w:numId w:val="11"/>
        </w:numPr>
        <w:shd w:val="clear" w:color="auto" w:fill="auto"/>
        <w:tabs>
          <w:tab w:val="left" w:pos="1439"/>
        </w:tabs>
        <w:spacing w:before="0"/>
      </w:pPr>
      <w:r>
        <w:t>операции займа ценными бумагами;</w:t>
      </w:r>
    </w:p>
    <w:p w:rsidR="00A75B01" w:rsidRDefault="00A75B01" w:rsidP="00B9358C">
      <w:pPr>
        <w:pStyle w:val="21"/>
        <w:numPr>
          <w:ilvl w:val="0"/>
          <w:numId w:val="11"/>
        </w:numPr>
        <w:shd w:val="clear" w:color="auto" w:fill="auto"/>
        <w:tabs>
          <w:tab w:val="left" w:pos="1439"/>
        </w:tabs>
        <w:spacing w:before="0"/>
      </w:pPr>
      <w:r>
        <w:t>дивиденды;</w:t>
      </w:r>
    </w:p>
    <w:p w:rsidR="00A75B01" w:rsidRDefault="00A75B01" w:rsidP="00B9358C">
      <w:pPr>
        <w:pStyle w:val="21"/>
        <w:numPr>
          <w:ilvl w:val="0"/>
          <w:numId w:val="11"/>
        </w:numPr>
        <w:shd w:val="clear" w:color="auto" w:fill="auto"/>
        <w:tabs>
          <w:tab w:val="left" w:pos="1439"/>
        </w:tabs>
        <w:spacing w:before="0"/>
      </w:pPr>
      <w:r>
        <w:t>операции, совершенные на индивидуальном инвестиционном счете;</w:t>
      </w:r>
    </w:p>
    <w:p w:rsidR="00A75B01" w:rsidRDefault="00A75B01" w:rsidP="00B9358C">
      <w:pPr>
        <w:pStyle w:val="21"/>
        <w:numPr>
          <w:ilvl w:val="0"/>
          <w:numId w:val="11"/>
        </w:numPr>
        <w:shd w:val="clear" w:color="auto" w:fill="auto"/>
        <w:tabs>
          <w:tab w:val="left" w:pos="1439"/>
        </w:tabs>
        <w:spacing w:before="0" w:after="240"/>
      </w:pPr>
      <w:r>
        <w:t>операции с базисными активами.</w:t>
      </w:r>
    </w:p>
    <w:p w:rsidR="00A75B01" w:rsidRDefault="00A75B01">
      <w:pPr>
        <w:pStyle w:val="21"/>
        <w:shd w:val="clear" w:color="auto" w:fill="auto"/>
        <w:spacing w:before="0"/>
        <w:ind w:firstLine="580"/>
      </w:pPr>
      <w:r>
        <w:t>Доходы и расходы клиента, выраженные (номинированные) в иностранной валюте, пересчитываются в рубли по официальному курсу Центрального банка Российской Федерации, установленному на дату фактического получения указанных доходов, дату фактического осуществления расходов (п.5 ст.210 НК РФ). Соответственно, доход в валюте, полученный при продаже ценных бумаг, пересчитывается ООО «Инвестиционная палата» в рубли по курсу Центрального банка Российской Федерации на дату получения средств от продажи (на дату продажи). Указанный доход уменьшается на расходы на приобретение тех же ценных бумаг (в соответствии с методом ФИФО), которые также пересчитываются в рубли по курсу Центрального банка Российской Федерации, но только уже на дату покупки ЦБ. Соответственно, изменение курсовой стоимости валюты, за период с момента приобретения ценных бумаг до момента их продажи, может привести к увеличению (уменьшению) налогооблагаемой базы по этим ценным бумагам. Пересчет производится по каждой транзакции.</w:t>
      </w:r>
    </w:p>
    <w:p w:rsidR="00A75B01" w:rsidRDefault="00A75B01">
      <w:pPr>
        <w:pStyle w:val="21"/>
        <w:shd w:val="clear" w:color="auto" w:fill="auto"/>
        <w:spacing w:before="0"/>
        <w:ind w:firstLine="560"/>
      </w:pPr>
      <w:r>
        <w:t>При определении доходов ООО «Инвестиционная палата» учитывает все доходы клиента, полученные им через и с помощью ООО «Инвестиционная палата». В частности учитываются доходы от операций с ценными бумагами и производными финансовыми инструментами, дивиденды, доходы, полученные в виде процента (купона, дисконта), суммы вариационной маржи и премии по контрактам, доходы в виде материальной выгоды, полученной от приобретения финансовых инструментов ниже рыночных расценок (ст.212 НК РФ).</w:t>
      </w:r>
    </w:p>
    <w:p w:rsidR="00A75B01" w:rsidRDefault="00A75B01">
      <w:pPr>
        <w:pStyle w:val="21"/>
        <w:shd w:val="clear" w:color="auto" w:fill="auto"/>
        <w:spacing w:before="0"/>
        <w:ind w:firstLine="560"/>
      </w:pPr>
      <w:r>
        <w:t>Доходы по операциям с базисными активами включаются в доходы по операциям с теми ценностями, к которым относятся базисные активы.</w:t>
      </w:r>
    </w:p>
    <w:p w:rsidR="00A75B01" w:rsidRDefault="00A75B01">
      <w:pPr>
        <w:pStyle w:val="21"/>
        <w:shd w:val="clear" w:color="auto" w:fill="auto"/>
        <w:spacing w:before="0"/>
        <w:ind w:firstLine="560"/>
      </w:pPr>
    </w:p>
    <w:p w:rsidR="00A75B01" w:rsidRDefault="00A75B01">
      <w:pPr>
        <w:pStyle w:val="21"/>
        <w:shd w:val="clear" w:color="auto" w:fill="auto"/>
        <w:spacing w:before="0"/>
        <w:ind w:firstLine="560"/>
      </w:pPr>
      <w:r>
        <w:t>Налоговой базой по операциям с ценными бумагами и по операциям с производными финансовыми инструментами признается положительный финансовый результат (прибыль).</w:t>
      </w:r>
    </w:p>
    <w:p w:rsidR="00A75B01" w:rsidRDefault="00A75B01">
      <w:pPr>
        <w:pStyle w:val="21"/>
        <w:shd w:val="clear" w:color="auto" w:fill="auto"/>
        <w:spacing w:before="0"/>
        <w:ind w:firstLine="560"/>
      </w:pPr>
      <w:r>
        <w:t>Финансовый результат по операциям с ценными бумагами и по операциям с производными финансовыми инструментами в общем понимании определяется как доходы от операций за вычетом соответствующих расходов.</w:t>
      </w:r>
    </w:p>
    <w:p w:rsidR="00A75B01" w:rsidRDefault="00A75B01">
      <w:pPr>
        <w:pStyle w:val="21"/>
        <w:shd w:val="clear" w:color="auto" w:fill="auto"/>
        <w:spacing w:before="0"/>
        <w:ind w:firstLine="560"/>
      </w:pPr>
      <w:r>
        <w:t>В качестве расходов учитываются следующие затраты клиента:</w:t>
      </w:r>
    </w:p>
    <w:p w:rsidR="00A75B01" w:rsidRDefault="00A75B01">
      <w:pPr>
        <w:pStyle w:val="21"/>
        <w:numPr>
          <w:ilvl w:val="0"/>
          <w:numId w:val="5"/>
        </w:numPr>
        <w:shd w:val="clear" w:color="auto" w:fill="auto"/>
        <w:tabs>
          <w:tab w:val="left" w:pos="1072"/>
        </w:tabs>
        <w:spacing w:before="0"/>
        <w:ind w:left="740" w:firstLine="0"/>
      </w:pPr>
      <w:r>
        <w:t>суммы, уплачиваемые эмитенту (продавцу) в оплату размещаемых (покупаемых) ценных бумаг;</w:t>
      </w:r>
    </w:p>
    <w:p w:rsidR="00A75B01" w:rsidRDefault="00A75B01">
      <w:pPr>
        <w:pStyle w:val="21"/>
        <w:numPr>
          <w:ilvl w:val="0"/>
          <w:numId w:val="5"/>
        </w:numPr>
        <w:shd w:val="clear" w:color="auto" w:fill="auto"/>
        <w:tabs>
          <w:tab w:val="left" w:pos="1067"/>
        </w:tabs>
        <w:spacing w:before="0"/>
        <w:ind w:left="740" w:firstLine="0"/>
      </w:pPr>
      <w:r>
        <w:t>суммы уплаченной вариационной маржи и (или) премии, а также иные периодические или разовые выплаты, предусмотренные условиями производных финансовых инструментов;</w:t>
      </w:r>
    </w:p>
    <w:p w:rsidR="00A75B01" w:rsidRDefault="00A75B01">
      <w:pPr>
        <w:pStyle w:val="21"/>
        <w:numPr>
          <w:ilvl w:val="0"/>
          <w:numId w:val="5"/>
        </w:numPr>
        <w:shd w:val="clear" w:color="auto" w:fill="auto"/>
        <w:tabs>
          <w:tab w:val="left" w:pos="1067"/>
        </w:tabs>
        <w:spacing w:before="0"/>
        <w:ind w:left="740" w:firstLine="0"/>
      </w:pPr>
      <w:r>
        <w:t>оплата услуг, оказываемых профессиональными участниками рынка ценных бумаг, а также биржевыми посредниками и клиринговыми центрами;</w:t>
      </w:r>
    </w:p>
    <w:p w:rsidR="00A75B01" w:rsidRDefault="00A75B01">
      <w:pPr>
        <w:pStyle w:val="21"/>
        <w:numPr>
          <w:ilvl w:val="0"/>
          <w:numId w:val="5"/>
        </w:numPr>
        <w:shd w:val="clear" w:color="auto" w:fill="auto"/>
        <w:tabs>
          <w:tab w:val="left" w:pos="1067"/>
        </w:tabs>
        <w:spacing w:before="0"/>
        <w:ind w:left="740" w:firstLine="0"/>
      </w:pPr>
      <w:r>
        <w:t>надбавка, уплачиваемая управляющей компании паевого инвестиционного фонда при приобретении инвестиционного пая паевого инвестиционного фонда;</w:t>
      </w:r>
    </w:p>
    <w:p w:rsidR="00A75B01" w:rsidRDefault="00A75B01">
      <w:pPr>
        <w:pStyle w:val="21"/>
        <w:numPr>
          <w:ilvl w:val="0"/>
          <w:numId w:val="5"/>
        </w:numPr>
        <w:shd w:val="clear" w:color="auto" w:fill="auto"/>
        <w:tabs>
          <w:tab w:val="left" w:pos="1072"/>
        </w:tabs>
        <w:spacing w:before="0"/>
        <w:ind w:left="740" w:firstLine="0"/>
      </w:pPr>
      <w:r>
        <w:t>скидка, уплачиваемая управляющей компании паевого инвестиционного фонда при погашении инвестиционного пая паевого инвестиционного фонда;</w:t>
      </w:r>
    </w:p>
    <w:p w:rsidR="00A75B01" w:rsidRDefault="00A75B01">
      <w:pPr>
        <w:pStyle w:val="21"/>
        <w:numPr>
          <w:ilvl w:val="0"/>
          <w:numId w:val="5"/>
        </w:numPr>
        <w:shd w:val="clear" w:color="auto" w:fill="auto"/>
        <w:tabs>
          <w:tab w:val="left" w:pos="1077"/>
        </w:tabs>
        <w:spacing w:before="0"/>
        <w:ind w:left="740" w:firstLine="0"/>
      </w:pPr>
      <w:r>
        <w:t>расходы, возмещаемые профессиональному участнику рынка ценных бумаг, управляющей компании, осуществляющей доверительное управление имуществом, составляющим паевой инвестиционный фонд;</w:t>
      </w:r>
    </w:p>
    <w:p w:rsidR="00A75B01" w:rsidRDefault="00A75B01">
      <w:pPr>
        <w:pStyle w:val="21"/>
        <w:numPr>
          <w:ilvl w:val="0"/>
          <w:numId w:val="5"/>
        </w:numPr>
        <w:shd w:val="clear" w:color="auto" w:fill="auto"/>
        <w:tabs>
          <w:tab w:val="left" w:pos="1062"/>
        </w:tabs>
        <w:spacing w:before="0"/>
        <w:ind w:left="740" w:firstLine="0"/>
      </w:pPr>
      <w:r>
        <w:t>биржевой сбор (комиссия);</w:t>
      </w:r>
    </w:p>
    <w:p w:rsidR="00A75B01" w:rsidRDefault="00A75B01">
      <w:pPr>
        <w:pStyle w:val="21"/>
        <w:numPr>
          <w:ilvl w:val="0"/>
          <w:numId w:val="5"/>
        </w:numPr>
        <w:shd w:val="clear" w:color="auto" w:fill="auto"/>
        <w:tabs>
          <w:tab w:val="left" w:pos="1062"/>
        </w:tabs>
        <w:spacing w:before="0"/>
        <w:ind w:left="740" w:firstLine="0"/>
      </w:pPr>
      <w:r>
        <w:t>оплата услуг лиц, осуществляющих ведение реестра;</w:t>
      </w:r>
    </w:p>
    <w:p w:rsidR="00A75B01" w:rsidRDefault="00A75B01">
      <w:pPr>
        <w:pStyle w:val="21"/>
        <w:numPr>
          <w:ilvl w:val="0"/>
          <w:numId w:val="5"/>
        </w:numPr>
        <w:shd w:val="clear" w:color="auto" w:fill="auto"/>
        <w:tabs>
          <w:tab w:val="left" w:pos="1062"/>
        </w:tabs>
        <w:spacing w:before="0"/>
        <w:ind w:left="740" w:firstLine="0"/>
      </w:pPr>
      <w:r>
        <w:t>налог, уплаченный налогоплательщиком при получении им ценных бумаг в порядке наследования;</w:t>
      </w:r>
    </w:p>
    <w:p w:rsidR="00A75B01" w:rsidRDefault="00A75B01">
      <w:pPr>
        <w:pStyle w:val="21"/>
        <w:numPr>
          <w:ilvl w:val="0"/>
          <w:numId w:val="5"/>
        </w:numPr>
        <w:shd w:val="clear" w:color="auto" w:fill="auto"/>
        <w:tabs>
          <w:tab w:val="left" w:pos="1220"/>
        </w:tabs>
        <w:spacing w:before="0"/>
        <w:ind w:left="740" w:firstLine="0"/>
      </w:pPr>
      <w:r>
        <w:t>налог, уплаченный налогоплательщиком при получении им в порядке дарения акций (по пункту 18.1 статьи 217 НК РФ);</w:t>
      </w:r>
    </w:p>
    <w:p w:rsidR="00A75B01" w:rsidRDefault="00A75B01">
      <w:pPr>
        <w:pStyle w:val="21"/>
        <w:numPr>
          <w:ilvl w:val="0"/>
          <w:numId w:val="5"/>
        </w:numPr>
        <w:shd w:val="clear" w:color="auto" w:fill="auto"/>
        <w:tabs>
          <w:tab w:val="left" w:pos="1220"/>
        </w:tabs>
        <w:spacing w:before="0"/>
        <w:ind w:left="740" w:firstLine="0"/>
      </w:pPr>
      <w:r>
        <w:t>суммы процентов, уплаченные по кредитам и займам (маржинальным займам), полученным для совершения сделок с ценными бумагами в пределах установленных ограничений. Ограничения: исходя из ставки рефинансирования ЦБ РФ, увеличенной в 1,1 раза;  исходя из 9 процентов - для валютных обязательств);</w:t>
      </w:r>
    </w:p>
    <w:p w:rsidR="00A75B01" w:rsidRDefault="00A75B01" w:rsidP="00627A4D">
      <w:pPr>
        <w:pStyle w:val="21"/>
        <w:numPr>
          <w:ilvl w:val="0"/>
          <w:numId w:val="5"/>
        </w:numPr>
        <w:shd w:val="clear" w:color="auto" w:fill="auto"/>
        <w:tabs>
          <w:tab w:val="left" w:pos="1192"/>
        </w:tabs>
        <w:spacing w:before="0" w:after="240"/>
        <w:ind w:left="740" w:firstLine="0"/>
      </w:pPr>
      <w:r>
        <w:t>другие расходы, непосредственно связанные с операциями с ценными бумагами, с производными финансовыми инструментами,.</w:t>
      </w:r>
    </w:p>
    <w:p w:rsidR="00A75B01" w:rsidRDefault="00A75B01" w:rsidP="00627A4D">
      <w:pPr>
        <w:pStyle w:val="21"/>
        <w:shd w:val="clear" w:color="auto" w:fill="auto"/>
        <w:tabs>
          <w:tab w:val="left" w:pos="1192"/>
        </w:tabs>
        <w:spacing w:before="0" w:after="240"/>
        <w:ind w:firstLine="543"/>
      </w:pPr>
      <w:r>
        <w:t>При реализации ценных бумаг расходы в виде стоимости приобретения ценных бумаг признаются по стоимости первых по времени приобретений (ФИФО).</w:t>
      </w:r>
    </w:p>
    <w:p w:rsidR="00A75B01" w:rsidRPr="006C0955" w:rsidRDefault="00A75B01" w:rsidP="00525F29">
      <w:pPr>
        <w:pStyle w:val="21"/>
        <w:shd w:val="clear" w:color="auto" w:fill="auto"/>
        <w:tabs>
          <w:tab w:val="left" w:pos="935"/>
        </w:tabs>
        <w:spacing w:before="0"/>
        <w:ind w:firstLine="543"/>
        <w:rPr>
          <w:color w:val="auto"/>
        </w:rPr>
      </w:pPr>
      <w:r>
        <w:t xml:space="preserve">Если клиентом были получены ценные бумаги на безвозмездной основе, а также в порядке дарения или наследования ценные бумаги, в качестве документально подтвержденных расходов на приобретение (получение) этих ценных бумаг учитываются суммы, с которых был исчислен и уплачен налог при приобретении (получении) данных ценных бумаг. В случае наследования ценных бумаг, в составе расходов также учитывается налог, уплаченный при наследовании. </w:t>
      </w:r>
      <w:r w:rsidRPr="006C0955">
        <w:t>Если при получении налогоплательщиком ценных бумаг в порядке дарения или наследования налог не взимается</w:t>
      </w:r>
      <w:r>
        <w:t xml:space="preserve"> (льгота)</w:t>
      </w:r>
      <w:r w:rsidRPr="006C0955">
        <w:t xml:space="preserve">, </w:t>
      </w:r>
      <w:r>
        <w:t>то</w:t>
      </w:r>
      <w:r w:rsidRPr="006C0955">
        <w:t xml:space="preserve"> учитываются также документально подтвержденные расходы дарителя (наследодателя) на приобретение этих ценных бумаг.</w:t>
      </w:r>
    </w:p>
    <w:p w:rsidR="00A75B01" w:rsidRPr="00590547" w:rsidRDefault="00A75B01" w:rsidP="00525F29">
      <w:pPr>
        <w:pStyle w:val="21"/>
        <w:shd w:val="clear" w:color="auto" w:fill="auto"/>
        <w:tabs>
          <w:tab w:val="left" w:pos="935"/>
        </w:tabs>
        <w:spacing w:before="0"/>
        <w:ind w:firstLine="543"/>
      </w:pPr>
      <w:r>
        <w:t xml:space="preserve">Если клиентом были получены </w:t>
      </w:r>
      <w:r>
        <w:rPr>
          <w:color w:val="auto"/>
        </w:rPr>
        <w:t>ценные бумаги и (или) производные финансовые инструменты в качестве имущества при ликвидации организации,  либо при выходе клиента из состава акционеров, в качестве расходов, признается их стоимость (ликвидационная стоимость), определенная исходя из рыночной оценки, на дату принятия решения о такой передачи.</w:t>
      </w:r>
    </w:p>
    <w:p w:rsidR="00A75B01" w:rsidRDefault="00A75B01" w:rsidP="00525F29">
      <w:pPr>
        <w:pStyle w:val="21"/>
        <w:shd w:val="clear" w:color="auto" w:fill="auto"/>
        <w:tabs>
          <w:tab w:val="left" w:pos="935"/>
        </w:tabs>
        <w:spacing w:before="0"/>
        <w:ind w:firstLine="543"/>
      </w:pPr>
      <w:r>
        <w:t xml:space="preserve">Если у клиента имеются документально подтвержденные расходы, о которых ООО «Инвестиционная палата» неизвестно, клиент имеет право предъявить данные расходы ООО «Инвестиционная палата», для учета их в расчете налога. Для этого клиенту необходимо написать заявление и представить вместе с заявлением оригиналы или заверенные копии документов, подтверждающих расходы: брокерские отчеты, договора купли-продажи, акты, документы, подтверждающие права на ценные бумаги, платежные документы. В случае представления физическим лицом оригиналов документов ООО «Инвестиционная палата» изготавливает и заверяет копии таких документов самостоятельно. </w:t>
      </w:r>
    </w:p>
    <w:p w:rsidR="00A75B01" w:rsidRDefault="00A75B01" w:rsidP="006F4EF6">
      <w:pPr>
        <w:pStyle w:val="21"/>
        <w:shd w:val="clear" w:color="auto" w:fill="auto"/>
        <w:tabs>
          <w:tab w:val="left" w:pos="935"/>
        </w:tabs>
        <w:spacing w:before="0"/>
        <w:ind w:left="580" w:firstLine="0"/>
      </w:pPr>
    </w:p>
    <w:p w:rsidR="00A75B01" w:rsidRDefault="00A75B01">
      <w:pPr>
        <w:pStyle w:val="11"/>
        <w:keepNext/>
        <w:keepLines/>
        <w:shd w:val="clear" w:color="auto" w:fill="auto"/>
        <w:spacing w:after="0" w:line="240" w:lineRule="exact"/>
        <w:ind w:firstLine="0"/>
      </w:pPr>
      <w:bookmarkStart w:id="17" w:name="_Toc66697470"/>
      <w:bookmarkStart w:id="18" w:name="_Toc66707245"/>
      <w:r>
        <w:t>Льготы налоговые</w:t>
      </w:r>
      <w:bookmarkEnd w:id="17"/>
      <w:bookmarkEnd w:id="18"/>
    </w:p>
    <w:p w:rsidR="00A75B01" w:rsidRDefault="00A75B01">
      <w:pPr>
        <w:pStyle w:val="21"/>
        <w:shd w:val="clear" w:color="auto" w:fill="auto"/>
        <w:spacing w:before="0" w:after="244"/>
        <w:ind w:firstLine="600"/>
      </w:pPr>
      <w:bookmarkStart w:id="19" w:name="bookmark13"/>
      <w:r>
        <w:t>Законодателем предусмотрены налоговые льготы, распространяющиеся на операции с определенными категориями ценных бумаг (статья 217 НК РФ).</w:t>
      </w:r>
      <w:bookmarkEnd w:id="19"/>
    </w:p>
    <w:p w:rsidR="00A75B01" w:rsidRDefault="00A75B01" w:rsidP="00B57DC1">
      <w:pPr>
        <w:pStyle w:val="21"/>
        <w:shd w:val="clear" w:color="auto" w:fill="auto"/>
        <w:tabs>
          <w:tab w:val="left" w:pos="931"/>
        </w:tabs>
        <w:spacing w:before="0" w:line="269" w:lineRule="exact"/>
        <w:ind w:firstLine="543"/>
      </w:pPr>
      <w:r>
        <w:t xml:space="preserve">Освобождаются от налогообложения доходы, полученные физическим лицом от реализации (погашения) акций </w:t>
      </w:r>
      <w:r w:rsidRPr="007F3FEE">
        <w:t xml:space="preserve">российских и (или) иностранных организаций, при условии, что на дату реализации или иного выбытия  они непрерывно принадлежат </w:t>
      </w:r>
      <w:r>
        <w:t xml:space="preserve">ему </w:t>
      </w:r>
      <w:r w:rsidRPr="007F3FEE">
        <w:t xml:space="preserve">на праве собственности или на ином вещном праве более пяти лет. </w:t>
      </w:r>
      <w:r>
        <w:t>Льгота применяется при условии, что</w:t>
      </w:r>
      <w:r w:rsidRPr="007F3FEE">
        <w:t xml:space="preserve"> не более 50 процентов активов </w:t>
      </w:r>
      <w:r>
        <w:t>организации</w:t>
      </w:r>
      <w:r w:rsidRPr="007F3FEE">
        <w:t>, прямо или косвенно состоит из недвижимого имущества, находящегося на территории Российской Федерации</w:t>
      </w:r>
      <w:r>
        <w:t>. П</w:t>
      </w:r>
      <w:r w:rsidRPr="007F3FEE">
        <w:t>о данным финансовой отчетности на последний день месяца, пр</w:t>
      </w:r>
      <w:r>
        <w:t>едшествующего месяцу реализации.</w:t>
      </w:r>
    </w:p>
    <w:p w:rsidR="00A75B01" w:rsidRDefault="00A75B01" w:rsidP="00B57DC1">
      <w:pPr>
        <w:pStyle w:val="21"/>
        <w:shd w:val="clear" w:color="auto" w:fill="auto"/>
        <w:tabs>
          <w:tab w:val="left" w:pos="931"/>
        </w:tabs>
        <w:spacing w:before="0" w:line="269" w:lineRule="exact"/>
        <w:ind w:firstLine="543"/>
      </w:pPr>
      <w:r>
        <w:t>Освобождаются от налогообложения доходы, полученные физическим лицом от реализации (погашения) ценных бумаг (акции, облигации, инвестиционные паи), российских организаций высокотехнологичного (инновационного) сектора экономики:</w:t>
      </w:r>
    </w:p>
    <w:p w:rsidR="00A75B01" w:rsidRDefault="00A75B01" w:rsidP="00C65BC2">
      <w:pPr>
        <w:pStyle w:val="21"/>
        <w:numPr>
          <w:ilvl w:val="0"/>
          <w:numId w:val="31"/>
        </w:numPr>
        <w:shd w:val="clear" w:color="auto" w:fill="auto"/>
        <w:spacing w:before="0"/>
      </w:pPr>
      <w:r>
        <w:t>обращающимся на организованном рынке ценных бумаг;</w:t>
      </w:r>
    </w:p>
    <w:p w:rsidR="00A75B01" w:rsidRDefault="00A75B01" w:rsidP="00C65BC2">
      <w:pPr>
        <w:pStyle w:val="21"/>
        <w:numPr>
          <w:ilvl w:val="0"/>
          <w:numId w:val="31"/>
        </w:numPr>
        <w:shd w:val="clear" w:color="auto" w:fill="auto"/>
        <w:tabs>
          <w:tab w:val="left" w:pos="1364"/>
        </w:tabs>
        <w:spacing w:before="0"/>
      </w:pPr>
      <w:r>
        <w:t>которые на дату их приобретения относятся к ценным бумагам, не обращающимся на организованном рынке ценных бумаг, а на дату их реализации приобретателем относятся к ценным бумагам, обращающимся на организованном рынке ценных бумаг.</w:t>
      </w:r>
    </w:p>
    <w:p w:rsidR="00A75B01" w:rsidRPr="00B57DC1" w:rsidRDefault="00A75B01" w:rsidP="00B57DC1">
      <w:pPr>
        <w:pStyle w:val="21"/>
        <w:shd w:val="clear" w:color="auto" w:fill="auto"/>
        <w:tabs>
          <w:tab w:val="left" w:pos="931"/>
        </w:tabs>
        <w:spacing w:before="0" w:line="269" w:lineRule="exact"/>
        <w:ind w:firstLine="543"/>
      </w:pPr>
      <w:r w:rsidRPr="00B57DC1">
        <w:t>Применяется к ценным бумагам, приобретенным с 01.01.2011. Льгота применяется при условии, что на дату реализации (погашения) таких акций они непрерывно принадлежали налогоплательщику на праве собственности или ином вещном праве более одного года.</w:t>
      </w:r>
    </w:p>
    <w:p w:rsidR="00A75B01" w:rsidRDefault="00A75B01" w:rsidP="00B57DC1">
      <w:pPr>
        <w:pStyle w:val="21"/>
        <w:shd w:val="clear" w:color="auto" w:fill="auto"/>
        <w:tabs>
          <w:tab w:val="left" w:pos="931"/>
        </w:tabs>
        <w:spacing w:before="0" w:line="269" w:lineRule="exact"/>
        <w:ind w:firstLine="543"/>
      </w:pPr>
      <w:r w:rsidRPr="00B57DC1">
        <w:t>Освобождаются от налогообложения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bookmarkStart w:id="20" w:name="bookmark14"/>
    </w:p>
    <w:p w:rsidR="00A75B01" w:rsidRDefault="00A75B01" w:rsidP="00B57DC1">
      <w:pPr>
        <w:pStyle w:val="21"/>
        <w:shd w:val="clear" w:color="auto" w:fill="auto"/>
        <w:tabs>
          <w:tab w:val="left" w:pos="931"/>
        </w:tabs>
        <w:spacing w:before="0" w:line="269" w:lineRule="exact"/>
        <w:ind w:firstLine="543"/>
      </w:pPr>
      <w:r w:rsidRPr="00B57DC1">
        <w:t>По вышеуказанным доходам физических лиц, не подлежащим налогообложению, ООО «Инвестиционная палата» не признается налоговым агентом, соответственно не учитывает данные доходы при определении налоговой базы по расчету НДФЛ, не указывает сведения по доходам в справке 2-НДФЛ. Физическое лицо также не обязано декларировать данные доходы, указывать информацию о них в налоговой декларации (3-НДФЛ).</w:t>
      </w:r>
      <w:bookmarkEnd w:id="20"/>
    </w:p>
    <w:p w:rsidR="00A75B01" w:rsidRPr="00B57DC1" w:rsidRDefault="00A75B01" w:rsidP="00B57DC1">
      <w:pPr>
        <w:pStyle w:val="21"/>
        <w:shd w:val="clear" w:color="auto" w:fill="auto"/>
        <w:tabs>
          <w:tab w:val="left" w:pos="931"/>
        </w:tabs>
        <w:spacing w:before="0" w:line="269" w:lineRule="exact"/>
        <w:ind w:firstLine="543"/>
      </w:pPr>
      <w:r w:rsidRPr="00B57DC1">
        <w:t>С 01.01.2021 независимо от даты эмиссии облагаются НДФЛ доходы в виде дисконта, которые получают клиенты при погашении обращающихся облигаций российских организаций, номинированных в рублях. Аналогичным образом больше не будет исключения для процентов и купона. Ранее в отношении доходов в виде процента (купона), получаемого по обращающимся облигациям российских организаций, эмитированным после 1 января 2017 года, налоговая база определялась как превышение суммы процентов (купона) над суммой процентов, рассчитанной исходя из ставки рефинансирования Центрального банка Российской Федерации, увеличенной на 5% пунктов.</w:t>
      </w:r>
    </w:p>
    <w:p w:rsidR="00A75B01" w:rsidRDefault="00A75B01" w:rsidP="00B57DC1">
      <w:pPr>
        <w:pStyle w:val="21"/>
        <w:tabs>
          <w:tab w:val="left" w:pos="935"/>
        </w:tabs>
        <w:ind w:firstLine="543"/>
      </w:pPr>
      <w:r>
        <w:t>С 01.01.2021  платить НДФЛ придется и с сумм процентов (Ранее такие проценты НДФЛ не облагались):</w:t>
      </w:r>
    </w:p>
    <w:p w:rsidR="00A75B01" w:rsidRDefault="00A75B01" w:rsidP="00C65BC2">
      <w:pPr>
        <w:pStyle w:val="21"/>
        <w:numPr>
          <w:ilvl w:val="0"/>
          <w:numId w:val="32"/>
        </w:numPr>
        <w:shd w:val="clear" w:color="auto" w:fill="auto"/>
        <w:spacing w:before="0"/>
      </w:pPr>
      <w:r>
        <w:t>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w:t>
      </w:r>
    </w:p>
    <w:p w:rsidR="00A75B01" w:rsidRDefault="00A75B01" w:rsidP="00C65BC2">
      <w:pPr>
        <w:pStyle w:val="21"/>
        <w:numPr>
          <w:ilvl w:val="0"/>
          <w:numId w:val="32"/>
        </w:numPr>
        <w:shd w:val="clear" w:color="auto" w:fill="auto"/>
        <w:spacing w:before="0"/>
      </w:pPr>
      <w:r>
        <w:t>облигациям и ценным бумагам, выпущенным по решению представительных органов местного самоуправления.</w:t>
      </w:r>
    </w:p>
    <w:p w:rsidR="00A75B01" w:rsidRDefault="00A75B01" w:rsidP="00BA1CB1">
      <w:pPr>
        <w:pStyle w:val="21"/>
        <w:shd w:val="clear" w:color="auto" w:fill="auto"/>
        <w:spacing w:before="0"/>
        <w:ind w:left="708" w:firstLine="0"/>
      </w:pPr>
    </w:p>
    <w:p w:rsidR="00A75B01" w:rsidRDefault="00A75B01">
      <w:pPr>
        <w:pStyle w:val="11"/>
        <w:keepNext/>
        <w:keepLines/>
        <w:shd w:val="clear" w:color="auto" w:fill="auto"/>
        <w:spacing w:after="266" w:line="240" w:lineRule="exact"/>
        <w:ind w:firstLine="0"/>
      </w:pPr>
      <w:bookmarkStart w:id="21" w:name="_Toc66697471"/>
      <w:bookmarkStart w:id="22" w:name="_Toc66707246"/>
      <w:r>
        <w:t>Документы, подтверждающие расходы</w:t>
      </w:r>
      <w:bookmarkEnd w:id="21"/>
      <w:bookmarkEnd w:id="22"/>
    </w:p>
    <w:p w:rsidR="00A75B01" w:rsidRDefault="00A75B01">
      <w:pPr>
        <w:pStyle w:val="21"/>
        <w:shd w:val="clear" w:color="auto" w:fill="auto"/>
        <w:spacing w:before="0"/>
        <w:ind w:firstLine="560"/>
      </w:pPr>
      <w:r>
        <w:t>Если ценные бумаги приобретались в рамках договора на брокерское обслуживание (доверительное управление) у другого лица, необходимо представить в ООО «Инвестиционная палата»:</w:t>
      </w:r>
    </w:p>
    <w:p w:rsidR="00A75B01" w:rsidRDefault="00A75B01" w:rsidP="00C65BC2">
      <w:pPr>
        <w:pStyle w:val="21"/>
        <w:numPr>
          <w:ilvl w:val="0"/>
          <w:numId w:val="33"/>
        </w:numPr>
        <w:shd w:val="clear" w:color="auto" w:fill="auto"/>
        <w:tabs>
          <w:tab w:val="left" w:pos="1138"/>
        </w:tabs>
        <w:spacing w:before="0" w:line="278" w:lineRule="exact"/>
        <w:jc w:val="left"/>
      </w:pPr>
      <w:r>
        <w:t>договор о брокерском обслуживании (доверительном управлении), в рамках которого приобретались ценные бумаги;</w:t>
      </w:r>
    </w:p>
    <w:p w:rsidR="00A75B01" w:rsidRDefault="00A75B01" w:rsidP="00C65BC2">
      <w:pPr>
        <w:pStyle w:val="21"/>
        <w:numPr>
          <w:ilvl w:val="0"/>
          <w:numId w:val="33"/>
        </w:numPr>
        <w:shd w:val="clear" w:color="auto" w:fill="auto"/>
        <w:tabs>
          <w:tab w:val="left" w:pos="1138"/>
        </w:tabs>
        <w:spacing w:before="0" w:line="278" w:lineRule="exact"/>
        <w:jc w:val="left"/>
      </w:pPr>
      <w:r>
        <w:t>отчет брокера (доверительного управляющего), заверенный подписью и печатью, подтверждающий совершение сделок по приобретению ценных бумаг;</w:t>
      </w:r>
    </w:p>
    <w:p w:rsidR="00A75B01" w:rsidRDefault="00A75B01" w:rsidP="00C65BC2">
      <w:pPr>
        <w:pStyle w:val="21"/>
        <w:numPr>
          <w:ilvl w:val="0"/>
          <w:numId w:val="33"/>
        </w:numPr>
        <w:shd w:val="clear" w:color="auto" w:fill="auto"/>
        <w:tabs>
          <w:tab w:val="left" w:pos="1138"/>
        </w:tabs>
        <w:spacing w:before="0" w:after="233"/>
        <w:jc w:val="left"/>
      </w:pPr>
      <w:r>
        <w:t>документы, подтверждающие переход права собственности: отчет по счету депо за период, и (или) справка по лицевому счету в реестре Клиента.</w:t>
      </w:r>
    </w:p>
    <w:p w:rsidR="00A75B01" w:rsidRDefault="00A75B01">
      <w:pPr>
        <w:pStyle w:val="21"/>
        <w:shd w:val="clear" w:color="auto" w:fill="auto"/>
        <w:spacing w:before="0" w:line="283" w:lineRule="exact"/>
        <w:ind w:firstLine="560"/>
      </w:pPr>
      <w:r>
        <w:t>Если ценные бумаги приобретались не через брокера:</w:t>
      </w:r>
    </w:p>
    <w:p w:rsidR="00A75B01" w:rsidRDefault="00A75B01" w:rsidP="00C65BC2">
      <w:pPr>
        <w:pStyle w:val="21"/>
        <w:numPr>
          <w:ilvl w:val="0"/>
          <w:numId w:val="34"/>
        </w:numPr>
        <w:shd w:val="clear" w:color="auto" w:fill="auto"/>
        <w:tabs>
          <w:tab w:val="left" w:pos="1138"/>
        </w:tabs>
        <w:spacing w:before="0" w:line="283" w:lineRule="exact"/>
        <w:jc w:val="left"/>
      </w:pPr>
      <w:r>
        <w:t>договор купли-продажи, подтверждающий приобретение указанных ценных бумаг;</w:t>
      </w:r>
    </w:p>
    <w:p w:rsidR="00A75B01" w:rsidRDefault="00A75B01" w:rsidP="00C65BC2">
      <w:pPr>
        <w:pStyle w:val="21"/>
        <w:numPr>
          <w:ilvl w:val="0"/>
          <w:numId w:val="34"/>
        </w:numPr>
        <w:shd w:val="clear" w:color="auto" w:fill="auto"/>
        <w:tabs>
          <w:tab w:val="left" w:pos="1138"/>
        </w:tabs>
        <w:spacing w:before="0" w:line="283" w:lineRule="exact"/>
      </w:pPr>
      <w:r>
        <w:t>платежный документ, подтверждающий оплату указанных ценных бумаг;</w:t>
      </w:r>
    </w:p>
    <w:p w:rsidR="00A75B01" w:rsidRDefault="00A75B01" w:rsidP="00C65BC2">
      <w:pPr>
        <w:pStyle w:val="21"/>
        <w:numPr>
          <w:ilvl w:val="0"/>
          <w:numId w:val="34"/>
        </w:numPr>
        <w:shd w:val="clear" w:color="auto" w:fill="auto"/>
        <w:tabs>
          <w:tab w:val="left" w:pos="1138"/>
        </w:tabs>
        <w:spacing w:before="0"/>
        <w:jc w:val="left"/>
      </w:pPr>
      <w:r>
        <w:t>документы, подтверждающие переход права собственности: отчет по счету депо за период, и (или) справка по лицевому счету в реестре Клиента.</w:t>
      </w:r>
    </w:p>
    <w:p w:rsidR="00A75B01" w:rsidRDefault="00A75B01">
      <w:pPr>
        <w:pStyle w:val="21"/>
        <w:shd w:val="clear" w:color="auto" w:fill="auto"/>
        <w:spacing w:before="0"/>
        <w:ind w:firstLine="560"/>
      </w:pPr>
      <w:r>
        <w:t>Если ценные бумаги получены клиентом в порядке дарения:</w:t>
      </w:r>
    </w:p>
    <w:p w:rsidR="00A75B01" w:rsidRDefault="00A75B01" w:rsidP="00C65BC2">
      <w:pPr>
        <w:pStyle w:val="21"/>
        <w:numPr>
          <w:ilvl w:val="0"/>
          <w:numId w:val="35"/>
        </w:numPr>
        <w:shd w:val="clear" w:color="auto" w:fill="auto"/>
        <w:tabs>
          <w:tab w:val="left" w:pos="1138"/>
        </w:tabs>
        <w:spacing w:before="0" w:line="240" w:lineRule="exact"/>
      </w:pPr>
      <w:r>
        <w:t>договор дарения;</w:t>
      </w:r>
    </w:p>
    <w:p w:rsidR="00A75B01" w:rsidRDefault="00A75B01" w:rsidP="00C65BC2">
      <w:pPr>
        <w:pStyle w:val="21"/>
        <w:numPr>
          <w:ilvl w:val="0"/>
          <w:numId w:val="35"/>
        </w:numPr>
        <w:shd w:val="clear" w:color="auto" w:fill="auto"/>
        <w:tabs>
          <w:tab w:val="left" w:pos="1138"/>
        </w:tabs>
        <w:spacing w:before="0"/>
        <w:jc w:val="left"/>
      </w:pPr>
      <w:r>
        <w:t>документы, подтверждающие переход права собственности: отчет по счету депо за период, и (или) справка по лицевому счету в реестре Клиента;</w:t>
      </w:r>
    </w:p>
    <w:p w:rsidR="00A75B01" w:rsidRDefault="00A75B01" w:rsidP="00C65BC2">
      <w:pPr>
        <w:pStyle w:val="21"/>
        <w:numPr>
          <w:ilvl w:val="0"/>
          <w:numId w:val="35"/>
        </w:numPr>
        <w:shd w:val="clear" w:color="auto" w:fill="auto"/>
        <w:tabs>
          <w:tab w:val="left" w:pos="1138"/>
        </w:tabs>
        <w:spacing w:before="0" w:line="278" w:lineRule="exact"/>
      </w:pPr>
      <w:r>
        <w:t>документы, подтверждающие факт уплаты НДФЛ (если это имело место).</w:t>
      </w:r>
    </w:p>
    <w:p w:rsidR="00A75B01" w:rsidRDefault="00A75B01">
      <w:pPr>
        <w:pStyle w:val="21"/>
        <w:shd w:val="clear" w:color="auto" w:fill="auto"/>
        <w:spacing w:before="0" w:line="278" w:lineRule="exact"/>
        <w:ind w:firstLine="560"/>
      </w:pPr>
      <w:r>
        <w:t>Если ценные бумаги получены клиентом в порядке дарения получения ценных бумаг в порядке дарения от близких родственников, а также в порядке наследования:</w:t>
      </w:r>
    </w:p>
    <w:p w:rsidR="00A75B01" w:rsidRDefault="00A75B01" w:rsidP="00C65BC2">
      <w:pPr>
        <w:pStyle w:val="21"/>
        <w:numPr>
          <w:ilvl w:val="0"/>
          <w:numId w:val="36"/>
        </w:numPr>
        <w:shd w:val="clear" w:color="auto" w:fill="auto"/>
        <w:tabs>
          <w:tab w:val="left" w:pos="1138"/>
        </w:tabs>
        <w:spacing w:before="0" w:line="278" w:lineRule="exact"/>
        <w:jc w:val="left"/>
      </w:pPr>
      <w:r>
        <w:t>документы, подтверждающие получение ценных бумаг в порядке наследования/дарения (свидетельство о праве на наследство/договор дарения);</w:t>
      </w:r>
    </w:p>
    <w:p w:rsidR="00A75B01" w:rsidRDefault="00A75B01" w:rsidP="00C65BC2">
      <w:pPr>
        <w:pStyle w:val="21"/>
        <w:numPr>
          <w:ilvl w:val="0"/>
          <w:numId w:val="36"/>
        </w:numPr>
        <w:shd w:val="clear" w:color="auto" w:fill="auto"/>
        <w:tabs>
          <w:tab w:val="left" w:pos="1138"/>
        </w:tabs>
        <w:spacing w:before="0" w:line="278" w:lineRule="exact"/>
        <w:jc w:val="left"/>
      </w:pPr>
      <w:r>
        <w:t>документы, подтверждающие родство (свидетельство о браке, свидетельство о рождении и т.п.) - предоставляются только для случаев дарения;</w:t>
      </w:r>
    </w:p>
    <w:p w:rsidR="00A75B01" w:rsidRDefault="00A75B01" w:rsidP="00C65BC2">
      <w:pPr>
        <w:pStyle w:val="21"/>
        <w:numPr>
          <w:ilvl w:val="0"/>
          <w:numId w:val="36"/>
        </w:numPr>
        <w:shd w:val="clear" w:color="auto" w:fill="auto"/>
        <w:tabs>
          <w:tab w:val="left" w:pos="1138"/>
        </w:tabs>
        <w:spacing w:before="0" w:line="278" w:lineRule="exact"/>
        <w:jc w:val="left"/>
      </w:pPr>
      <w:r>
        <w:t>документы, подтверждающие расходы, понесенные на приобретение ценных бумаг дарителем/наследодателем;</w:t>
      </w:r>
    </w:p>
    <w:p w:rsidR="00A75B01" w:rsidRDefault="00A75B01" w:rsidP="00C65BC2">
      <w:pPr>
        <w:pStyle w:val="21"/>
        <w:numPr>
          <w:ilvl w:val="0"/>
          <w:numId w:val="36"/>
        </w:numPr>
        <w:shd w:val="clear" w:color="auto" w:fill="auto"/>
        <w:tabs>
          <w:tab w:val="left" w:pos="1138"/>
        </w:tabs>
        <w:spacing w:before="0"/>
        <w:jc w:val="left"/>
      </w:pPr>
      <w:r>
        <w:t>документы, подтверждающие переход права собственности: отчет по счету депо за период, и (или) справка по лицевому счету в реестре Клиента.</w:t>
      </w:r>
    </w:p>
    <w:p w:rsidR="00A75B01" w:rsidRDefault="00A75B01">
      <w:pPr>
        <w:pStyle w:val="21"/>
        <w:shd w:val="clear" w:color="auto" w:fill="auto"/>
        <w:spacing w:before="0"/>
        <w:ind w:firstLine="560"/>
      </w:pPr>
      <w:r>
        <w:t>Указанные документы должны быть предоставлены ООО «Инвестиционная палата» на дату заведения ценных бумаг, желательно не позднее 20 декабря того года, в течение которого были проданы указанные ценные бумаги или не позднее даты подачи поручения на вывод денежных средств от продажи ценных бумаг.</w:t>
      </w:r>
    </w:p>
    <w:p w:rsidR="00A75B01" w:rsidRDefault="00A75B01">
      <w:pPr>
        <w:pStyle w:val="21"/>
        <w:shd w:val="clear" w:color="auto" w:fill="auto"/>
        <w:spacing w:before="0"/>
        <w:ind w:firstLine="560"/>
      </w:pPr>
    </w:p>
    <w:p w:rsidR="00A75B01" w:rsidRDefault="00A75B01">
      <w:pPr>
        <w:pStyle w:val="11"/>
        <w:keepNext/>
        <w:keepLines/>
        <w:shd w:val="clear" w:color="auto" w:fill="auto"/>
        <w:spacing w:after="201" w:line="240" w:lineRule="exact"/>
        <w:ind w:right="20" w:firstLine="0"/>
      </w:pPr>
      <w:bookmarkStart w:id="23" w:name="_Toc66697472"/>
      <w:bookmarkStart w:id="24" w:name="_Toc66707247"/>
      <w:r>
        <w:t>Учет убытков</w:t>
      </w:r>
      <w:bookmarkEnd w:id="23"/>
      <w:bookmarkEnd w:id="24"/>
    </w:p>
    <w:p w:rsidR="00A75B01" w:rsidRDefault="00A75B01">
      <w:pPr>
        <w:pStyle w:val="21"/>
        <w:shd w:val="clear" w:color="auto" w:fill="auto"/>
        <w:spacing w:before="0"/>
        <w:ind w:firstLine="600"/>
      </w:pPr>
      <w:bookmarkStart w:id="25" w:name="bookmark17"/>
      <w:r>
        <w:t>Отрицательный финансовый результат, полученный по совокупности осуществленных операций, признается убытком.</w:t>
      </w:r>
      <w:bookmarkEnd w:id="25"/>
      <w:r>
        <w:t xml:space="preserve"> </w:t>
      </w:r>
    </w:p>
    <w:p w:rsidR="00A75B01" w:rsidRDefault="00A75B01">
      <w:pPr>
        <w:pStyle w:val="21"/>
        <w:shd w:val="clear" w:color="auto" w:fill="auto"/>
        <w:spacing w:before="0"/>
        <w:ind w:firstLine="600"/>
      </w:pPr>
      <w:r>
        <w:t>Убытки от операций с ценными бумагами, производными финансовыми инструментами, возникающие в течение года подлежат особому учету.</w:t>
      </w:r>
    </w:p>
    <w:p w:rsidR="00A75B01" w:rsidRDefault="00A75B01">
      <w:pPr>
        <w:pStyle w:val="21"/>
        <w:shd w:val="clear" w:color="auto" w:fill="auto"/>
        <w:spacing w:before="0" w:after="240"/>
        <w:ind w:firstLine="600"/>
      </w:pPr>
      <w:r>
        <w:t>Убытки, полученные в течение года от отдельных операций с ценными бумагами, производными финансовыми инструментами, уменьшают прибыль, полученную в течение года от операций с ценными бумагами, производными финансовыми инструментами аналогичной категории (аналогичного вида). При этом по операциям с ценными бумагами, обращающимися на организованном рынке ценных бумаг, сумма убытка, уменьшающая прибыль по операциям с ценными бумагами, обращающимися на организованном рынке, определяется с учетом предельной границы колебаний рыночной цены ценных бумаг.</w:t>
      </w:r>
    </w:p>
    <w:p w:rsidR="00A75B01" w:rsidRDefault="00A75B01">
      <w:pPr>
        <w:pStyle w:val="51"/>
        <w:shd w:val="clear" w:color="auto" w:fill="auto"/>
        <w:spacing w:before="0" w:line="274" w:lineRule="exact"/>
        <w:ind w:firstLine="600"/>
      </w:pPr>
      <w:r>
        <w:t>Пример:</w:t>
      </w:r>
    </w:p>
    <w:p w:rsidR="00A75B01" w:rsidRDefault="00A75B01">
      <w:pPr>
        <w:pStyle w:val="51"/>
        <w:shd w:val="clear" w:color="auto" w:fill="auto"/>
        <w:spacing w:before="0" w:after="240" w:line="274" w:lineRule="exact"/>
        <w:ind w:firstLine="600"/>
      </w:pPr>
      <w:r>
        <w:t>Клиентом получена прибыль от операций с ценными бумагами, обращающимися на рынке, с начала календарного года в размере 5 000 рублей. В тоже время была совершена внебиржевая сделка по продаже 100 акций АО НБК по цене 100 рублей за акцию, купленных до этого на фондовой бирже по 150 рублей, что соответствовало биржевым расценкам на дату покупки. В день продажи акций, их минимальная биржевая цена составила 120 рублей за акцию. В результате продажи акций АО НБК клиентом получен убыток, в размере 5 000 руб. (=(100 руб.-150 руб.) х 100акций). Для целей налогообложения, при расчете налоговой базы в указанном примере будет использоваться принцип предельной границы колебаний рыночной цены ценных бумаг: отрицательный финансовый результат от продажи акций АО НБК будет рассчитан исходя из большей из двух цен: цены продажи акций и минимальной цены сделки, совершенной на фондовой бирже. В указанном примере большей величиной будет минимальная цена сделки</w:t>
      </w:r>
      <w:r>
        <w:rPr>
          <w:rStyle w:val="50"/>
        </w:rPr>
        <w:t xml:space="preserve"> — </w:t>
      </w:r>
      <w:r>
        <w:t>120 рублей. Размер убытка для целей налогообложения будет равен 2 000руб. (=(100 руб.-120 руб.) х 100акций). Соответственно, прибыль от операций с ценными бумагами, обращающимися на рынке, в размере 5 000 рублей будет уменьшена не на 5 000 рублей, а на 2 000 рублей. Налоговая база составит 3 000 рублей.</w:t>
      </w:r>
    </w:p>
    <w:p w:rsidR="00A75B01" w:rsidRDefault="00A75B01" w:rsidP="0096019F">
      <w:pPr>
        <w:pStyle w:val="21"/>
        <w:shd w:val="clear" w:color="auto" w:fill="auto"/>
        <w:spacing w:before="0"/>
        <w:ind w:firstLine="600"/>
        <w:rPr>
          <w:rStyle w:val="23"/>
          <w:u w:val="none"/>
        </w:rPr>
      </w:pPr>
      <w:r>
        <w:t xml:space="preserve">Если в рамках одного вида финансового результата формируется итоговый убыток, полученный убыток подлежит учету в особом порядке. Для более ясной демонстрации порядка переноса убытков, между категориями </w:t>
      </w:r>
      <w:r w:rsidRPr="0096019F">
        <w:t>ф</w:t>
      </w:r>
      <w:r w:rsidRPr="0096019F">
        <w:rPr>
          <w:rStyle w:val="23"/>
          <w:u w:val="none"/>
        </w:rPr>
        <w:t>инансовых инструментов, данные сгруппированы в ниже приложенной таблице.</w:t>
      </w:r>
    </w:p>
    <w:tbl>
      <w:tblPr>
        <w:tblW w:w="9784"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tblPr>
      <w:tblGrid>
        <w:gridCol w:w="5440"/>
        <w:gridCol w:w="4344"/>
      </w:tblGrid>
      <w:tr w:rsidR="00A75B01" w:rsidTr="001107F4">
        <w:trPr>
          <w:trHeight w:hRule="exact" w:val="696"/>
        </w:trPr>
        <w:tc>
          <w:tcPr>
            <w:tcW w:w="5440" w:type="dxa"/>
            <w:shd w:val="clear" w:color="auto" w:fill="FFFFFF"/>
            <w:vAlign w:val="center"/>
          </w:tcPr>
          <w:p w:rsidR="00A75B01" w:rsidRPr="00EF74BD" w:rsidRDefault="00A75B01" w:rsidP="00EF74BD">
            <w:pPr>
              <w:jc w:val="center"/>
              <w:rPr>
                <w:rFonts w:ascii="Times New Roman" w:hAnsi="Times New Roman" w:cs="Times New Roman"/>
              </w:rPr>
            </w:pPr>
            <w:r w:rsidRPr="00EF74BD">
              <w:rPr>
                <w:rFonts w:ascii="Times New Roman" w:hAnsi="Times New Roman" w:cs="Times New Roman"/>
              </w:rPr>
              <w:t>вид убытка</w:t>
            </w:r>
          </w:p>
        </w:tc>
        <w:tc>
          <w:tcPr>
            <w:tcW w:w="4344" w:type="dxa"/>
            <w:shd w:val="clear" w:color="auto" w:fill="FFFFFF"/>
            <w:vAlign w:val="center"/>
          </w:tcPr>
          <w:p w:rsidR="00A75B01" w:rsidRPr="00EF74BD" w:rsidRDefault="00A75B01" w:rsidP="00EF74BD">
            <w:pPr>
              <w:jc w:val="center"/>
              <w:rPr>
                <w:rFonts w:ascii="Times New Roman" w:hAnsi="Times New Roman" w:cs="Times New Roman"/>
              </w:rPr>
            </w:pPr>
            <w:r w:rsidRPr="00EF74BD">
              <w:rPr>
                <w:rFonts w:ascii="Times New Roman" w:hAnsi="Times New Roman" w:cs="Times New Roman"/>
              </w:rPr>
              <w:t>категория финансовых инструментов, где можно учесть убыток</w:t>
            </w:r>
          </w:p>
        </w:tc>
      </w:tr>
      <w:tr w:rsidR="00A75B01" w:rsidTr="001107F4">
        <w:trPr>
          <w:trHeight w:hRule="exact" w:val="828"/>
        </w:trPr>
        <w:tc>
          <w:tcPr>
            <w:tcW w:w="5440" w:type="dxa"/>
            <w:shd w:val="clear" w:color="auto" w:fill="FFFFFF"/>
            <w:vAlign w:val="center"/>
          </w:tcPr>
          <w:p w:rsidR="00A75B01" w:rsidRDefault="00A75B01" w:rsidP="00D13DD5">
            <w:pPr>
              <w:rPr>
                <w:rFonts w:ascii="Times New Roman" w:hAnsi="Times New Roman" w:cs="Times New Roman"/>
              </w:rPr>
            </w:pPr>
            <w:r>
              <w:rPr>
                <w:rFonts w:ascii="Times New Roman" w:hAnsi="Times New Roman" w:cs="Times New Roman"/>
              </w:rPr>
              <w:t>у</w:t>
            </w:r>
            <w:r w:rsidRPr="00EF74BD">
              <w:rPr>
                <w:rFonts w:ascii="Times New Roman" w:hAnsi="Times New Roman" w:cs="Times New Roman"/>
              </w:rPr>
              <w:t xml:space="preserve">быток, от операций с ценными бумагами, </w:t>
            </w:r>
            <w:r>
              <w:rPr>
                <w:rFonts w:ascii="Times New Roman" w:hAnsi="Times New Roman" w:cs="Times New Roman"/>
              </w:rPr>
              <w:t xml:space="preserve">не </w:t>
            </w:r>
            <w:r w:rsidRPr="00EF74BD">
              <w:rPr>
                <w:rFonts w:ascii="Times New Roman" w:hAnsi="Times New Roman" w:cs="Times New Roman"/>
              </w:rPr>
              <w:t>обращающимися на организованном рынке</w:t>
            </w:r>
          </w:p>
        </w:tc>
        <w:tc>
          <w:tcPr>
            <w:tcW w:w="4344" w:type="dxa"/>
            <w:shd w:val="clear" w:color="auto" w:fill="FFFFFF"/>
            <w:vAlign w:val="center"/>
          </w:tcPr>
          <w:p w:rsidR="00A75B01" w:rsidRPr="00EF74BD" w:rsidRDefault="00A75B01" w:rsidP="0008386D">
            <w:pPr>
              <w:jc w:val="center"/>
              <w:rPr>
                <w:rFonts w:ascii="Times New Roman" w:hAnsi="Times New Roman" w:cs="Times New Roman"/>
              </w:rPr>
            </w:pPr>
            <w:r>
              <w:rPr>
                <w:rFonts w:ascii="Times New Roman" w:hAnsi="Times New Roman" w:cs="Times New Roman"/>
              </w:rPr>
              <w:t>-</w:t>
            </w:r>
          </w:p>
        </w:tc>
      </w:tr>
      <w:tr w:rsidR="00A75B01" w:rsidTr="001107F4">
        <w:trPr>
          <w:trHeight w:hRule="exact" w:val="1465"/>
        </w:trPr>
        <w:tc>
          <w:tcPr>
            <w:tcW w:w="5440" w:type="dxa"/>
            <w:shd w:val="clear" w:color="auto" w:fill="FFFFFF"/>
            <w:vAlign w:val="center"/>
          </w:tcPr>
          <w:p w:rsidR="00A75B01" w:rsidRPr="00EF74BD" w:rsidRDefault="00A75B01" w:rsidP="00D13DD5">
            <w:pPr>
              <w:rPr>
                <w:rFonts w:ascii="Times New Roman" w:hAnsi="Times New Roman" w:cs="Times New Roman"/>
              </w:rPr>
            </w:pPr>
            <w:r>
              <w:rPr>
                <w:rFonts w:ascii="Times New Roman" w:hAnsi="Times New Roman" w:cs="Times New Roman"/>
              </w:rPr>
              <w:t>у</w:t>
            </w:r>
            <w:r w:rsidRPr="00EF74BD">
              <w:rPr>
                <w:rFonts w:ascii="Times New Roman" w:hAnsi="Times New Roman" w:cs="Times New Roman"/>
              </w:rPr>
              <w:t>быток, от операций с ценными бумагами, обращающимися на организованном рынке</w:t>
            </w:r>
          </w:p>
        </w:tc>
        <w:tc>
          <w:tcPr>
            <w:tcW w:w="4344" w:type="dxa"/>
            <w:shd w:val="clear" w:color="auto" w:fill="FFFFFF"/>
            <w:vAlign w:val="center"/>
          </w:tcPr>
          <w:p w:rsidR="00A75B01" w:rsidRPr="00EF74BD" w:rsidRDefault="00A75B01" w:rsidP="00D13DD5">
            <w:pPr>
              <w:rPr>
                <w:rFonts w:ascii="Times New Roman" w:hAnsi="Times New Roman" w:cs="Times New Roman"/>
              </w:rPr>
            </w:pPr>
            <w:r w:rsidRPr="00EF74BD">
              <w:rPr>
                <w:rFonts w:ascii="Times New Roman" w:hAnsi="Times New Roman" w:cs="Times New Roman"/>
              </w:rPr>
              <w:t xml:space="preserve">по операциям с производными финансовыми инструментами, обращающимися на </w:t>
            </w:r>
            <w:r>
              <w:rPr>
                <w:rFonts w:ascii="Times New Roman" w:hAnsi="Times New Roman" w:cs="Times New Roman"/>
              </w:rPr>
              <w:t>о</w:t>
            </w:r>
            <w:r w:rsidRPr="00EF74BD">
              <w:rPr>
                <w:rFonts w:ascii="Times New Roman" w:hAnsi="Times New Roman" w:cs="Times New Roman"/>
              </w:rPr>
              <w:t>рганизованном рынке, если их базисными</w:t>
            </w:r>
          </w:p>
          <w:p w:rsidR="00A75B01" w:rsidRPr="00EF74BD" w:rsidRDefault="00A75B01" w:rsidP="00D13DD5">
            <w:pPr>
              <w:rPr>
                <w:rFonts w:ascii="Times New Roman" w:hAnsi="Times New Roman" w:cs="Times New Roman"/>
              </w:rPr>
            </w:pPr>
            <w:r w:rsidRPr="00EF74BD">
              <w:rPr>
                <w:rFonts w:ascii="Times New Roman" w:hAnsi="Times New Roman" w:cs="Times New Roman"/>
              </w:rPr>
              <w:t xml:space="preserve">активами являются </w:t>
            </w:r>
            <w:r>
              <w:rPr>
                <w:rFonts w:ascii="Times New Roman" w:hAnsi="Times New Roman" w:cs="Times New Roman"/>
              </w:rPr>
              <w:t>ценные бумаги, фондовые индексы</w:t>
            </w:r>
          </w:p>
        </w:tc>
      </w:tr>
      <w:tr w:rsidR="00A75B01" w:rsidTr="001107F4">
        <w:trPr>
          <w:trHeight w:hRule="exact" w:val="2330"/>
        </w:trPr>
        <w:tc>
          <w:tcPr>
            <w:tcW w:w="5440" w:type="dxa"/>
            <w:shd w:val="clear" w:color="auto" w:fill="FFFFFF"/>
            <w:vAlign w:val="center"/>
          </w:tcPr>
          <w:p w:rsidR="00A75B01" w:rsidRPr="00EF74BD" w:rsidRDefault="00A75B01" w:rsidP="00D13DD5">
            <w:pPr>
              <w:rPr>
                <w:rFonts w:ascii="Times New Roman" w:hAnsi="Times New Roman" w:cs="Times New Roman"/>
              </w:rPr>
            </w:pPr>
            <w:r>
              <w:rPr>
                <w:rFonts w:ascii="Times New Roman" w:hAnsi="Times New Roman" w:cs="Times New Roman"/>
              </w:rPr>
              <w:t>у</w:t>
            </w:r>
            <w:r w:rsidRPr="00EF74BD">
              <w:rPr>
                <w:rFonts w:ascii="Times New Roman" w:hAnsi="Times New Roman" w:cs="Times New Roman"/>
              </w:rPr>
              <w:t xml:space="preserve">быток, полученный по операциям с финансовыми инструментами срочных сделок, обращающимися на организованном рынке, если их базисными активами </w:t>
            </w:r>
            <w:r>
              <w:rPr>
                <w:rFonts w:ascii="Times New Roman" w:hAnsi="Times New Roman" w:cs="Times New Roman"/>
              </w:rPr>
              <w:t>н</w:t>
            </w:r>
            <w:r w:rsidRPr="00EF74BD">
              <w:rPr>
                <w:rFonts w:ascii="Times New Roman" w:hAnsi="Times New Roman" w:cs="Times New Roman"/>
              </w:rPr>
              <w:t>е являются ценные бумаги, фондовые индексы или иные финансовые инструменты базисным активом которых являются ценные</w:t>
            </w:r>
            <w:r>
              <w:rPr>
                <w:rFonts w:ascii="Times New Roman" w:hAnsi="Times New Roman" w:cs="Times New Roman"/>
              </w:rPr>
              <w:t xml:space="preserve"> бумаги или фондовые индексы</w:t>
            </w:r>
          </w:p>
        </w:tc>
        <w:tc>
          <w:tcPr>
            <w:tcW w:w="4344" w:type="dxa"/>
            <w:shd w:val="clear" w:color="auto" w:fill="FFFFFF"/>
            <w:vAlign w:val="center"/>
          </w:tcPr>
          <w:p w:rsidR="00A75B01" w:rsidRPr="00EF74BD" w:rsidRDefault="00A75B01" w:rsidP="00D13DD5">
            <w:pPr>
              <w:rPr>
                <w:rFonts w:ascii="Times New Roman" w:hAnsi="Times New Roman" w:cs="Times New Roman"/>
              </w:rPr>
            </w:pPr>
            <w:r w:rsidRPr="00EF74BD">
              <w:rPr>
                <w:rFonts w:ascii="Times New Roman" w:hAnsi="Times New Roman" w:cs="Times New Roman"/>
              </w:rPr>
              <w:t>1. по операциям с производными финансовыми инструментами, обращающимися на организованном рынке</w:t>
            </w:r>
          </w:p>
          <w:p w:rsidR="00A75B01" w:rsidRPr="00EF74BD" w:rsidRDefault="00A75B01" w:rsidP="00D13DD5">
            <w:pPr>
              <w:rPr>
                <w:rFonts w:ascii="Times New Roman" w:hAnsi="Times New Roman" w:cs="Times New Roman"/>
              </w:rPr>
            </w:pPr>
          </w:p>
          <w:p w:rsidR="00A75B01" w:rsidRPr="00EF74BD" w:rsidRDefault="00A75B01" w:rsidP="00D13DD5">
            <w:pPr>
              <w:rPr>
                <w:rFonts w:ascii="Times New Roman" w:hAnsi="Times New Roman" w:cs="Times New Roman"/>
              </w:rPr>
            </w:pPr>
            <w:r w:rsidRPr="00EF74BD">
              <w:rPr>
                <w:rFonts w:ascii="Times New Roman" w:hAnsi="Times New Roman" w:cs="Times New Roman"/>
              </w:rPr>
              <w:t>2. по операциям с ценными бумагами, обращающимися на организованном рынке</w:t>
            </w:r>
          </w:p>
          <w:p w:rsidR="00A75B01" w:rsidRPr="00EF74BD" w:rsidRDefault="00A75B01" w:rsidP="00D13DD5">
            <w:pPr>
              <w:rPr>
                <w:rFonts w:ascii="Times New Roman" w:hAnsi="Times New Roman" w:cs="Times New Roman"/>
              </w:rPr>
            </w:pPr>
          </w:p>
          <w:p w:rsidR="00A75B01" w:rsidRPr="00EF74BD" w:rsidRDefault="00A75B01" w:rsidP="00D13DD5">
            <w:pPr>
              <w:rPr>
                <w:rFonts w:ascii="Times New Roman" w:hAnsi="Times New Roman" w:cs="Times New Roman"/>
              </w:rPr>
            </w:pPr>
          </w:p>
        </w:tc>
      </w:tr>
      <w:tr w:rsidR="00A75B01" w:rsidTr="001107F4">
        <w:trPr>
          <w:trHeight w:hRule="exact" w:val="1430"/>
        </w:trPr>
        <w:tc>
          <w:tcPr>
            <w:tcW w:w="5440" w:type="dxa"/>
            <w:shd w:val="clear" w:color="auto" w:fill="FFFFFF"/>
            <w:vAlign w:val="center"/>
          </w:tcPr>
          <w:p w:rsidR="00A75B01" w:rsidRPr="00EF74BD" w:rsidRDefault="00A75B01" w:rsidP="00D13DD5">
            <w:pPr>
              <w:rPr>
                <w:rFonts w:ascii="Times New Roman" w:hAnsi="Times New Roman" w:cs="Times New Roman"/>
              </w:rPr>
            </w:pPr>
            <w:r>
              <w:rPr>
                <w:rFonts w:ascii="Times New Roman" w:hAnsi="Times New Roman" w:cs="Times New Roman"/>
              </w:rPr>
              <w:t>у</w:t>
            </w:r>
            <w:r w:rsidRPr="00EF74BD">
              <w:rPr>
                <w:rFonts w:ascii="Times New Roman" w:hAnsi="Times New Roman" w:cs="Times New Roman"/>
              </w:rPr>
              <w:t>быток, полученный по операциям с финансовыми инструментами срочных сделок, обращающимися на организованном рынке, если их базисными активами не являются ценные бумаги</w:t>
            </w:r>
            <w:r>
              <w:rPr>
                <w:rFonts w:ascii="Times New Roman" w:hAnsi="Times New Roman" w:cs="Times New Roman"/>
              </w:rPr>
              <w:t>, фондовые индексы</w:t>
            </w:r>
          </w:p>
        </w:tc>
        <w:tc>
          <w:tcPr>
            <w:tcW w:w="4344" w:type="dxa"/>
            <w:shd w:val="clear" w:color="auto" w:fill="FFFFFF"/>
            <w:vAlign w:val="center"/>
          </w:tcPr>
          <w:p w:rsidR="00A75B01" w:rsidRPr="00EF74BD" w:rsidRDefault="00A75B01" w:rsidP="00D13DD5">
            <w:pPr>
              <w:rPr>
                <w:rFonts w:ascii="Times New Roman" w:hAnsi="Times New Roman" w:cs="Times New Roman"/>
              </w:rPr>
            </w:pPr>
            <w:r>
              <w:rPr>
                <w:rFonts w:ascii="Times New Roman" w:hAnsi="Times New Roman" w:cs="Times New Roman"/>
              </w:rPr>
              <w:t>п</w:t>
            </w:r>
            <w:r w:rsidRPr="00EF74BD">
              <w:rPr>
                <w:rFonts w:ascii="Times New Roman" w:hAnsi="Times New Roman" w:cs="Times New Roman"/>
              </w:rPr>
              <w:t xml:space="preserve">о операциям </w:t>
            </w:r>
            <w:r>
              <w:rPr>
                <w:rFonts w:ascii="Times New Roman" w:hAnsi="Times New Roman" w:cs="Times New Roman"/>
              </w:rPr>
              <w:t>с производными</w:t>
            </w:r>
            <w:r w:rsidRPr="00EF74BD">
              <w:rPr>
                <w:rFonts w:ascii="Times New Roman" w:hAnsi="Times New Roman" w:cs="Times New Roman"/>
              </w:rPr>
              <w:t xml:space="preserve"> финансовыми инструментами срочных сделок, обращающимися на организованном рынке.</w:t>
            </w:r>
          </w:p>
        </w:tc>
      </w:tr>
    </w:tbl>
    <w:p w:rsidR="00A75B01" w:rsidRDefault="00A75B01">
      <w:pPr>
        <w:pStyle w:val="21"/>
        <w:shd w:val="clear" w:color="auto" w:fill="auto"/>
        <w:spacing w:before="245" w:line="278" w:lineRule="exact"/>
        <w:ind w:firstLine="620"/>
      </w:pPr>
      <w:r>
        <w:t>Убытки, полученные по операциям с ценными бумагами, производными финансовыми инструментами, можно переносить на будущее. Перенос убытка на будущее осуществляется в форме вычета, который предоставляется физическому лицу (клиенту) налоговым органом.</w:t>
      </w:r>
    </w:p>
    <w:p w:rsidR="00A75B01" w:rsidRDefault="00A75B01">
      <w:pPr>
        <w:pStyle w:val="21"/>
        <w:shd w:val="clear" w:color="auto" w:fill="auto"/>
        <w:spacing w:before="0" w:line="278" w:lineRule="exact"/>
        <w:ind w:firstLine="620"/>
      </w:pPr>
      <w:r>
        <w:t>Указанный налоговый вычет предоставляется в размере сумм убытков, фактически полученных налогоплательщиком от следующих операций:</w:t>
      </w:r>
    </w:p>
    <w:p w:rsidR="00A75B01" w:rsidRDefault="00A75B01">
      <w:pPr>
        <w:pStyle w:val="21"/>
        <w:numPr>
          <w:ilvl w:val="0"/>
          <w:numId w:val="2"/>
        </w:numPr>
        <w:shd w:val="clear" w:color="auto" w:fill="auto"/>
        <w:tabs>
          <w:tab w:val="left" w:pos="1024"/>
        </w:tabs>
        <w:spacing w:before="0" w:line="278" w:lineRule="exact"/>
        <w:ind w:left="1000" w:hanging="380"/>
      </w:pPr>
      <w:r>
        <w:t>от операций с ценными бумагами, обращающимися на организованном рынке ценных бумаг, в пределах размера прибыли текущего налогового периода от операций с ценными бумагами, обращающимися на организованном рынке ценных бумаг;</w:t>
      </w:r>
    </w:p>
    <w:p w:rsidR="00A75B01" w:rsidRDefault="00A75B01">
      <w:pPr>
        <w:pStyle w:val="21"/>
        <w:numPr>
          <w:ilvl w:val="0"/>
          <w:numId w:val="2"/>
        </w:numPr>
        <w:shd w:val="clear" w:color="auto" w:fill="auto"/>
        <w:tabs>
          <w:tab w:val="left" w:pos="1024"/>
        </w:tabs>
        <w:spacing w:before="0"/>
        <w:ind w:left="1000" w:hanging="380"/>
      </w:pPr>
      <w:r>
        <w:t>от операций с производными финансовыми инструментами, обращающимися на организованном рынке в пределах размера прибыли текущего налогового периода от операций с производными финансовыми инструментами, обращающимися на организованном рынке.</w:t>
      </w:r>
    </w:p>
    <w:p w:rsidR="00A75B01" w:rsidRDefault="00A75B01">
      <w:pPr>
        <w:pStyle w:val="21"/>
        <w:shd w:val="clear" w:color="auto" w:fill="auto"/>
        <w:spacing w:before="0"/>
        <w:ind w:firstLine="620"/>
      </w:pPr>
      <w:r>
        <w:t>Для получения налогового вычета физическому лицу (клиенту) необходимо предоставить в налоговый орган по месту своей регистрации декларацию по форме 3-НДФЛ, а также копии документов, подтверждающих объем ранее понесенных убытков. Все это предоставляется по окончании года. Письменное заявление при этом представлять не следует. Представление декларации в налоговый орган за налоговый период, в котором были получены убытки, для целей получения данного налогового вычета не требуется.</w:t>
      </w:r>
    </w:p>
    <w:p w:rsidR="00A75B01" w:rsidRDefault="00A75B01">
      <w:pPr>
        <w:pStyle w:val="21"/>
        <w:shd w:val="clear" w:color="auto" w:fill="auto"/>
        <w:spacing w:before="0"/>
        <w:ind w:firstLine="620"/>
      </w:pPr>
      <w:r>
        <w:t>Для получения документов, подтверждающих объем понесенных убытков физическому лицу (клиенту) необходимо обратится к налоговому агенту, в том числе ООО Инвестиционная палата.</w:t>
      </w:r>
    </w:p>
    <w:p w:rsidR="00A75B01" w:rsidRDefault="00A75B01">
      <w:pPr>
        <w:pStyle w:val="21"/>
        <w:shd w:val="clear" w:color="auto" w:fill="auto"/>
        <w:spacing w:before="0"/>
        <w:ind w:firstLine="620"/>
      </w:pPr>
      <w:r>
        <w:t>Перенос убытков действует только в отношении убытков, полученных начиная с 2010 г. Допускается переносить убытки в течение 10 лет, следующих за убыточным налоговым периодом.</w:t>
      </w:r>
    </w:p>
    <w:p w:rsidR="00A75B01" w:rsidRDefault="00A75B01">
      <w:pPr>
        <w:pStyle w:val="21"/>
        <w:shd w:val="clear" w:color="auto" w:fill="auto"/>
        <w:spacing w:before="0"/>
        <w:ind w:firstLine="620"/>
      </w:pPr>
      <w:r>
        <w:t>Не допускается перенос на будущие периоды убытков, полученных по операциям с ценными бумагами, не обращающимися на организованном рынке ценных бумаг, и по операциям с производными финансовыми инструментами, не обращающимися на организованном рынке.</w:t>
      </w:r>
    </w:p>
    <w:p w:rsidR="00A75B01" w:rsidRDefault="00A75B01">
      <w:pPr>
        <w:pStyle w:val="21"/>
        <w:shd w:val="clear" w:color="auto" w:fill="auto"/>
        <w:spacing w:before="0" w:after="360"/>
        <w:ind w:firstLine="620"/>
      </w:pPr>
      <w:bookmarkStart w:id="26" w:name="bookmark18"/>
      <w:r>
        <w:t>Не допускается перенос на будущие периоды убытков, полученных по операциям РЕПО и по операциям займа ценными бумагами.</w:t>
      </w:r>
      <w:bookmarkEnd w:id="26"/>
    </w:p>
    <w:p w:rsidR="00A75B01" w:rsidRDefault="00A75B01">
      <w:pPr>
        <w:pStyle w:val="11"/>
        <w:keepNext/>
        <w:keepLines/>
        <w:shd w:val="clear" w:color="auto" w:fill="auto"/>
        <w:spacing w:after="0" w:line="274" w:lineRule="exact"/>
        <w:ind w:right="40" w:firstLine="0"/>
      </w:pPr>
      <w:bookmarkStart w:id="27" w:name="_Toc66697473"/>
      <w:bookmarkStart w:id="28" w:name="_Toc66707248"/>
      <w:r>
        <w:t>РЕПО</w:t>
      </w:r>
      <w:bookmarkEnd w:id="27"/>
      <w:bookmarkEnd w:id="28"/>
    </w:p>
    <w:p w:rsidR="00A75B01" w:rsidRDefault="00A75B01">
      <w:pPr>
        <w:pStyle w:val="21"/>
        <w:shd w:val="clear" w:color="auto" w:fill="auto"/>
        <w:spacing w:before="0"/>
        <w:ind w:firstLine="620"/>
      </w:pPr>
      <w:r>
        <w:t xml:space="preserve">В общем понимании операция РЕПО - это две взаимосвязанные сделки купли-продажи ценных бумаг. Подробности указаны в ст. 51.3 Федерального закона от 22.04.1996 </w:t>
      </w:r>
      <w:r>
        <w:rPr>
          <w:lang w:val="en-US" w:eastAsia="en-US"/>
        </w:rPr>
        <w:t>N</w:t>
      </w:r>
      <w:r w:rsidRPr="00EB42EE">
        <w:rPr>
          <w:lang w:eastAsia="en-US"/>
        </w:rPr>
        <w:t xml:space="preserve"> </w:t>
      </w:r>
      <w:r>
        <w:t>39-ФЗ. Сначала продавец передает в собственность покупателя ценные бумаги за определенную денежную сумму. По истечении некоторого времени покупатель возвращает продавцу ценные бумаги и получает взамен также определенную денежную сумму. Суть состоит в том, что обе суммы определяются заранее и между собой различаются. Если в промежуток между исполнением частей РЕПО котировки на ценные бумаги повысятся, то покупатель получит прибыль. В противном случае в выигрыше останется продавец.</w:t>
      </w:r>
    </w:p>
    <w:p w:rsidR="00A75B01" w:rsidRDefault="00A75B01">
      <w:pPr>
        <w:pStyle w:val="21"/>
        <w:shd w:val="clear" w:color="auto" w:fill="auto"/>
        <w:spacing w:before="0"/>
        <w:ind w:firstLine="580"/>
      </w:pPr>
      <w:r>
        <w:t>Физическому лицу разрешено заключать договоры РЕПО не со всеми, а только с брокерами, дилерами, депозитариями, управляющими, клиринговыми организациями и кредитными организациями.</w:t>
      </w:r>
    </w:p>
    <w:p w:rsidR="00A75B01" w:rsidRDefault="00A75B01">
      <w:pPr>
        <w:pStyle w:val="21"/>
        <w:shd w:val="clear" w:color="auto" w:fill="auto"/>
        <w:spacing w:before="0"/>
        <w:ind w:firstLine="580"/>
      </w:pPr>
      <w:r>
        <w:t>Налогообложение сделок РЕПО с ценными бумагами, имеет свои особенности.</w:t>
      </w:r>
    </w:p>
    <w:p w:rsidR="00A75B01" w:rsidRDefault="00A75B01">
      <w:pPr>
        <w:pStyle w:val="21"/>
        <w:shd w:val="clear" w:color="auto" w:fill="auto"/>
        <w:spacing w:before="0"/>
        <w:ind w:firstLine="580"/>
      </w:pPr>
      <w:r>
        <w:t>Для продавца по первой части РЕПО разница между ценой приобретения ценных бумаг по второй части РЕПО и ценой реализации ценных бумаг по первой части РЕПО признается:</w:t>
      </w:r>
    </w:p>
    <w:p w:rsidR="00A75B01" w:rsidRDefault="00A75B01" w:rsidP="00080331">
      <w:pPr>
        <w:pStyle w:val="21"/>
        <w:numPr>
          <w:ilvl w:val="0"/>
          <w:numId w:val="24"/>
        </w:numPr>
        <w:shd w:val="clear" w:color="auto" w:fill="auto"/>
        <w:spacing w:before="0"/>
      </w:pPr>
      <w:r>
        <w:t>доходами в виде процентов по займу, полученными по операциям РЕПО, — если такая разница является отрицательной;</w:t>
      </w:r>
    </w:p>
    <w:p w:rsidR="00A75B01" w:rsidRDefault="00A75B01" w:rsidP="00080331">
      <w:pPr>
        <w:pStyle w:val="21"/>
        <w:numPr>
          <w:ilvl w:val="0"/>
          <w:numId w:val="24"/>
        </w:numPr>
        <w:shd w:val="clear" w:color="auto" w:fill="auto"/>
        <w:spacing w:before="0"/>
      </w:pPr>
      <w:r>
        <w:t>расходами по выплате процентов по займу, уплаченными по операциям РЕПО, — если такая разница является положительной.</w:t>
      </w:r>
    </w:p>
    <w:p w:rsidR="00A75B01" w:rsidRDefault="00A75B01">
      <w:pPr>
        <w:pStyle w:val="21"/>
        <w:shd w:val="clear" w:color="auto" w:fill="auto"/>
        <w:spacing w:before="0"/>
        <w:ind w:firstLine="580"/>
      </w:pPr>
      <w:r>
        <w:t>Для покупателя по первой части РЕПО разница между ценой реализации ценных бумаг по второй части РЕПО и ценой приобретения ценных бумаг по первой части РЕПО признается:</w:t>
      </w:r>
    </w:p>
    <w:p w:rsidR="00A75B01" w:rsidRDefault="00A75B01" w:rsidP="00080331">
      <w:pPr>
        <w:pStyle w:val="21"/>
        <w:numPr>
          <w:ilvl w:val="0"/>
          <w:numId w:val="25"/>
        </w:numPr>
        <w:shd w:val="clear" w:color="auto" w:fill="auto"/>
        <w:spacing w:before="0"/>
      </w:pPr>
      <w:r>
        <w:t>доходами в виде процентов по займу, полученными по операциям РЕПО, — если такая разница является положительной;</w:t>
      </w:r>
    </w:p>
    <w:p w:rsidR="00A75B01" w:rsidRDefault="00A75B01" w:rsidP="00080331">
      <w:pPr>
        <w:pStyle w:val="21"/>
        <w:numPr>
          <w:ilvl w:val="0"/>
          <w:numId w:val="25"/>
        </w:numPr>
        <w:shd w:val="clear" w:color="auto" w:fill="auto"/>
        <w:spacing w:before="0"/>
      </w:pPr>
      <w:r>
        <w:t>расходами по выплате процентов по займу, уплаченными по операциям РЕПО, — если такая разница является отрицательной.</w:t>
      </w:r>
    </w:p>
    <w:p w:rsidR="00A75B01" w:rsidRDefault="00A75B01">
      <w:pPr>
        <w:pStyle w:val="21"/>
        <w:shd w:val="clear" w:color="auto" w:fill="auto"/>
        <w:spacing w:before="0"/>
        <w:ind w:firstLine="580"/>
      </w:pPr>
      <w:r>
        <w:t>Налоговая база по операциям РЕПО определяется как доходы в виде процентов по займам, полученным в налоговом периоде по совокупности операций РЕПО, уменьшенным на величину расходов в виде процентов по займам, уплаченных в налоговом периоде по совокупности операций РЕПО.</w:t>
      </w:r>
    </w:p>
    <w:p w:rsidR="00A75B01" w:rsidRDefault="00A75B01">
      <w:pPr>
        <w:pStyle w:val="21"/>
        <w:shd w:val="clear" w:color="auto" w:fill="auto"/>
        <w:spacing w:before="0"/>
        <w:ind w:firstLine="580"/>
      </w:pPr>
      <w:r>
        <w:t>Указанные расходы принимаются для целей налогообложения в пределах сумм, рассчитанных исходя из действующей на дату выплаты процентов по операциям РЕПО ставки рефинансирования Центрального банка Российской Федерации, увеличенной в 1,8 раза, для расходов, выраженных в рублях, и увеличенной в 0,8 раза для расходов, выраженных в иностранной валюте.</w:t>
      </w:r>
    </w:p>
    <w:p w:rsidR="00A75B01" w:rsidRDefault="00A75B01">
      <w:pPr>
        <w:pStyle w:val="21"/>
        <w:shd w:val="clear" w:color="auto" w:fill="auto"/>
        <w:spacing w:before="0"/>
        <w:ind w:firstLine="580"/>
      </w:pPr>
      <w:r>
        <w:t>Расходы в виде биржевых, брокерских и депозитарных комиссий, связанных с совершением операций РЕПО, уменьшают налоговую базу по операциям РЕПО после применения ограничений, указанных в предыдущем абзаце.</w:t>
      </w:r>
    </w:p>
    <w:p w:rsidR="00A75B01" w:rsidRDefault="00A75B01">
      <w:pPr>
        <w:pStyle w:val="21"/>
        <w:shd w:val="clear" w:color="auto" w:fill="auto"/>
        <w:spacing w:before="0"/>
        <w:ind w:firstLine="580"/>
      </w:pPr>
      <w:r>
        <w:t>Если величина расходов, принимаемых для целей налогообложения, превышает величину доходов, указанных в настоящем пункте, налоговая база по операциям РЕПО в соответствующем налоговом периоде признается равной нулю.</w:t>
      </w:r>
    </w:p>
    <w:p w:rsidR="00A75B01" w:rsidRDefault="00A75B01">
      <w:pPr>
        <w:pStyle w:val="21"/>
        <w:shd w:val="clear" w:color="auto" w:fill="auto"/>
        <w:spacing w:before="0"/>
        <w:ind w:firstLine="580"/>
      </w:pPr>
      <w:r>
        <w:t>Сумма превышения расходов, указанных выше, над доходами признается убытком налогоплательщика по операциям РЕПО.</w:t>
      </w:r>
    </w:p>
    <w:p w:rsidR="00A75B01" w:rsidRDefault="00A75B01">
      <w:pPr>
        <w:pStyle w:val="21"/>
        <w:shd w:val="clear" w:color="auto" w:fill="auto"/>
        <w:spacing w:before="0"/>
        <w:ind w:firstLine="580"/>
      </w:pPr>
      <w:r>
        <w:t>Убыток по операциям РЕПО принимается в уменьшение доходов по операциям с ценными бумагами, обращающимися на организованном рынке ценных бумаг, а также с ценными бумагами, не обращающимися на организованном рынке ценных бумаг, в пропорции, рассчитанной как соотношение стоимости ценных бумаг, являющихся объектом операций РЕПО, обращающихся на организованном рынке ценных бумаг, и стоимости ценных бумаг, являющихся объектом операций РЕПО, не обращающихся на организованном рынке ценных бумаг в общей стоимости ценных бумаг, являющихся объектом операций РЕПО.</w:t>
      </w:r>
    </w:p>
    <w:p w:rsidR="00A75B01" w:rsidRDefault="00A75B01">
      <w:pPr>
        <w:pStyle w:val="21"/>
        <w:shd w:val="clear" w:color="auto" w:fill="auto"/>
        <w:spacing w:before="0" w:after="360"/>
        <w:ind w:firstLine="580"/>
      </w:pPr>
      <w:bookmarkStart w:id="29" w:name="bookmark20"/>
      <w:r>
        <w:t>Налогооблагаемую базу, налог по операциям РЕПО определяет и рассчитывает налоговый агент - ООО «Инвестиционная палата».</w:t>
      </w:r>
      <w:bookmarkEnd w:id="29"/>
    </w:p>
    <w:p w:rsidR="00A75B01" w:rsidRDefault="00A75B01">
      <w:pPr>
        <w:pStyle w:val="11"/>
        <w:keepNext/>
        <w:keepLines/>
        <w:shd w:val="clear" w:color="auto" w:fill="auto"/>
        <w:spacing w:after="0" w:line="274" w:lineRule="exact"/>
        <w:ind w:left="20" w:firstLine="0"/>
      </w:pPr>
      <w:bookmarkStart w:id="30" w:name="_Toc66697474"/>
      <w:bookmarkStart w:id="31" w:name="_Toc66707249"/>
      <w:r>
        <w:t>Операции займа ценными бумагами</w:t>
      </w:r>
      <w:bookmarkEnd w:id="30"/>
      <w:bookmarkEnd w:id="31"/>
    </w:p>
    <w:p w:rsidR="00A75B01" w:rsidRDefault="00A75B01">
      <w:pPr>
        <w:pStyle w:val="21"/>
        <w:shd w:val="clear" w:color="auto" w:fill="auto"/>
        <w:spacing w:before="0"/>
        <w:ind w:firstLine="580"/>
      </w:pPr>
      <w:r>
        <w:t>Как уже было сказано выше, финансовый результат от операций займа ценными бумагами для целей налогообложения НДФЛ определяется отдельно. Имеются свои особенности и ограничения. В частности: срок договора займа ценными бумагами не должен превышать одного года, а проценты по займу должны уплачиваться только деньгами.</w:t>
      </w:r>
    </w:p>
    <w:p w:rsidR="00A75B01" w:rsidRDefault="00A75B01">
      <w:pPr>
        <w:pStyle w:val="21"/>
        <w:shd w:val="clear" w:color="auto" w:fill="auto"/>
        <w:spacing w:before="0"/>
        <w:ind w:firstLine="580"/>
      </w:pPr>
      <w:r>
        <w:t>Налогооблагаемым доходом по договору займа признаются полученные проценты. Если кредитор в одном и том же налоговом периоде выступает заемщиком по другому договору займа ценными бумагами и платит по нему проценты, то при определении налогооблагаемого дохода полученные и выплаченные кредитором проценты учитываются совокупно.</w:t>
      </w:r>
    </w:p>
    <w:p w:rsidR="00A75B01" w:rsidRDefault="00A75B01">
      <w:pPr>
        <w:pStyle w:val="51"/>
        <w:shd w:val="clear" w:color="auto" w:fill="auto"/>
        <w:spacing w:before="0" w:line="274" w:lineRule="exact"/>
        <w:ind w:firstLine="600"/>
      </w:pPr>
      <w:r>
        <w:t>Например:</w:t>
      </w:r>
    </w:p>
    <w:p w:rsidR="00A75B01" w:rsidRDefault="00A75B01">
      <w:pPr>
        <w:pStyle w:val="51"/>
        <w:shd w:val="clear" w:color="auto" w:fill="auto"/>
        <w:spacing w:before="0" w:after="240" w:line="274" w:lineRule="exact"/>
        <w:ind w:firstLine="600"/>
      </w:pPr>
      <w:r>
        <w:t>По договору займа ценными бумагами № 2, за 2020 год полученные проценты в размере 30 тыс.руб. По договору займа ценными бумагами № 1, за 2020 год уплачены проценты в размере 10 тыс.руб. Налоговая база по договорам займа ценными бумагами за 2020 год будет равна 20 тыс.руб. (=30 тыс.руб. - 10 тыс.руб.). Сумма налога составит 2,6 тыс.руб. (=20 тыс.руб. х 13 %).</w:t>
      </w:r>
    </w:p>
    <w:p w:rsidR="00A75B01" w:rsidRDefault="00A75B01">
      <w:pPr>
        <w:pStyle w:val="21"/>
        <w:shd w:val="clear" w:color="auto" w:fill="auto"/>
        <w:spacing w:before="0"/>
        <w:ind w:firstLine="600"/>
      </w:pPr>
      <w:r>
        <w:t>При этом расходы на выплату процентов по займу ценными бумагами не всегда можно принять к учету в полном объеме. Если проценты установлены в рублях, то предельная величина расходов в виде процентов - ставка рефинансирования Центрального банка РФ, увеличенная в 1,1 раза (4,675 % с 27.07.2020). По валютным же займам предельная величина процентов, принимаемая к учету, - 9 %.</w:t>
      </w:r>
    </w:p>
    <w:p w:rsidR="00A75B01" w:rsidRDefault="00A75B01">
      <w:pPr>
        <w:pStyle w:val="51"/>
        <w:shd w:val="clear" w:color="auto" w:fill="auto"/>
        <w:spacing w:before="0" w:line="240" w:lineRule="exact"/>
        <w:ind w:firstLine="600"/>
      </w:pPr>
      <w:r>
        <w:t>Например:</w:t>
      </w:r>
    </w:p>
    <w:p w:rsidR="00A75B01" w:rsidRDefault="00A75B01">
      <w:pPr>
        <w:pStyle w:val="51"/>
        <w:shd w:val="clear" w:color="auto" w:fill="auto"/>
        <w:spacing w:before="0" w:after="240" w:line="274" w:lineRule="exact"/>
        <w:ind w:firstLine="600"/>
      </w:pPr>
      <w:r>
        <w:t>По договору займа ценными бумагами № 1, за 2020 год уплачены проценты в размере 10 тыс.руб. Процентная ставка по договору займа составила 25 % годовых. Ставка рефинансирования ЦБ РФ (ключевая ставка) – 4,25 %. Сумма процентов, принимаемая к учету в качестве расходов составляет 1,87 тыс.руб. (= 10 тыс.руб. х 4,25 % х 1,1/25 %)</w:t>
      </w:r>
    </w:p>
    <w:p w:rsidR="00A75B01" w:rsidRDefault="00A75B01">
      <w:pPr>
        <w:pStyle w:val="21"/>
        <w:shd w:val="clear" w:color="auto" w:fill="auto"/>
        <w:spacing w:before="0"/>
        <w:ind w:firstLine="600"/>
      </w:pPr>
      <w:r>
        <w:t>В целях расчета процентов стоимость ценных бумаг, переданных по договору займа (маржинального займа), принимается равной рыночной цене соответствующих ценных бумаг на дату заключения договора займа, а при отсутствии рыночной цены - расчетной цене.</w:t>
      </w:r>
    </w:p>
    <w:p w:rsidR="00A75B01" w:rsidRDefault="00A75B01">
      <w:pPr>
        <w:pStyle w:val="51"/>
        <w:shd w:val="clear" w:color="auto" w:fill="auto"/>
        <w:spacing w:before="0" w:line="240" w:lineRule="exact"/>
        <w:ind w:firstLine="600"/>
      </w:pPr>
    </w:p>
    <w:p w:rsidR="00A75B01" w:rsidRDefault="00A75B01">
      <w:pPr>
        <w:pStyle w:val="51"/>
        <w:shd w:val="clear" w:color="auto" w:fill="auto"/>
        <w:spacing w:before="0" w:line="240" w:lineRule="exact"/>
        <w:ind w:firstLine="600"/>
      </w:pPr>
      <w:r>
        <w:t>Например:</w:t>
      </w:r>
    </w:p>
    <w:p w:rsidR="00A75B01" w:rsidRDefault="00A75B01">
      <w:pPr>
        <w:pStyle w:val="51"/>
        <w:shd w:val="clear" w:color="auto" w:fill="auto"/>
        <w:spacing w:before="0" w:after="240" w:line="274" w:lineRule="exact"/>
        <w:ind w:firstLine="600"/>
      </w:pPr>
      <w:r>
        <w:t>По договору займа ценными бумагами переданы в заем акции АО ГИТ в количестве 1000 шт. Рыночная котировка акций на дату заключения договора 1,1 руб. за акцию. Процентная ставка - 10 %. За один год сумма процентов, для целей налогообложения НДФЛ составит 110 руб. (= 1000 шт. х 1,1 руб. х 10 %).</w:t>
      </w:r>
    </w:p>
    <w:p w:rsidR="00A75B01" w:rsidRDefault="00A75B01">
      <w:pPr>
        <w:pStyle w:val="21"/>
        <w:shd w:val="clear" w:color="auto" w:fill="auto"/>
        <w:spacing w:before="0" w:after="240"/>
        <w:ind w:firstLine="600"/>
      </w:pPr>
      <w:r>
        <w:t>Если по ценным бумагам эмитент выплачивает доходы (например, дивиденды по акциям или купонный доход по облигациям), кредитор и заемщик могут сами определяют, кто будет получать такие доходы. У кого окажутся доходы, тот и будет платить с них НДФЛ в общеустановленном порядке.</w:t>
      </w:r>
    </w:p>
    <w:p w:rsidR="00A75B01" w:rsidRDefault="00A75B01">
      <w:pPr>
        <w:pStyle w:val="21"/>
        <w:shd w:val="clear" w:color="auto" w:fill="auto"/>
        <w:spacing w:before="0"/>
        <w:ind w:firstLine="600"/>
      </w:pPr>
      <w:r>
        <w:t>Если величина расходов превышает величину доходов, налоговая база по операциям займа ценными бумагами в соответствующем налоговом периоде признается равной нулю.</w:t>
      </w:r>
    </w:p>
    <w:p w:rsidR="00A75B01" w:rsidRDefault="00A75B01">
      <w:pPr>
        <w:pStyle w:val="21"/>
        <w:shd w:val="clear" w:color="auto" w:fill="auto"/>
        <w:spacing w:before="0"/>
        <w:ind w:firstLine="600"/>
      </w:pPr>
      <w:r>
        <w:t>При этом убыток от операций по договорам займа ценными бумагами принимаются в уменьшение полученных клиентом в том же налоговом периоде доходов по операциям с ценными бумагами, обращающимися на организованном рынке ценных бумаг, а также доходов по операциям с ценными бумагами, не обращающимися на организованном рынке ценных бумаг, в пропорции, рассчитанной как соотношение стоимости ценных бумаг, являющихся объектом операций займа, обращающихся на организованном рынке ценных бумаг, и стоимости ценных бумаг, являющихся объектом операций займа, не обращающихся на организованном рынке ценных бумаг, в общей стоимости ценных бумаг, являющихся объектом операций займа.</w:t>
      </w:r>
    </w:p>
    <w:p w:rsidR="00A75B01" w:rsidRDefault="00A75B01">
      <w:pPr>
        <w:pStyle w:val="21"/>
        <w:shd w:val="clear" w:color="auto" w:fill="auto"/>
        <w:spacing w:before="0"/>
        <w:ind w:firstLine="600"/>
      </w:pPr>
      <w:r>
        <w:t>Во время срока действия договора займа заемщик может производить с ценными бумагами различные операции, например, реализовать их и приобретать обратно. Во всех случаях, когда с полученными по договору займа ценными бумагами клиент производит какие-либо операции, применяются общие правила налогообложения (статья 214.1 НК РФ), установленные для ценных бумаг.</w:t>
      </w:r>
    </w:p>
    <w:p w:rsidR="00A75B01" w:rsidRDefault="00A75B01">
      <w:pPr>
        <w:pStyle w:val="21"/>
        <w:shd w:val="clear" w:color="auto" w:fill="auto"/>
        <w:spacing w:before="0"/>
        <w:ind w:firstLine="600"/>
      </w:pPr>
    </w:p>
    <w:p w:rsidR="00A75B01" w:rsidRDefault="00A75B01">
      <w:pPr>
        <w:pStyle w:val="11"/>
        <w:keepNext/>
        <w:keepLines/>
        <w:shd w:val="clear" w:color="auto" w:fill="auto"/>
        <w:spacing w:after="0" w:line="274" w:lineRule="exact"/>
        <w:ind w:firstLine="0"/>
      </w:pPr>
      <w:bookmarkStart w:id="32" w:name="_Toc66697475"/>
      <w:bookmarkStart w:id="33" w:name="_Toc66707250"/>
      <w:r>
        <w:t>Короткие позиции</w:t>
      </w:r>
      <w:bookmarkEnd w:id="32"/>
      <w:bookmarkEnd w:id="33"/>
    </w:p>
    <w:p w:rsidR="00A75B01" w:rsidRDefault="00A75B01">
      <w:pPr>
        <w:pStyle w:val="21"/>
        <w:shd w:val="clear" w:color="auto" w:fill="auto"/>
        <w:spacing w:before="0"/>
        <w:ind w:firstLine="560"/>
      </w:pPr>
      <w:bookmarkStart w:id="34" w:name="bookmark23"/>
      <w:r>
        <w:t>С торговлей на бирже тесно связано понятие позиции. Позиция по какому-либо конкретному активу - это разница между объемами его покупки и продажи конкретным участником рынка.</w:t>
      </w:r>
      <w:bookmarkEnd w:id="34"/>
    </w:p>
    <w:p w:rsidR="00A75B01" w:rsidRDefault="00A75B01">
      <w:pPr>
        <w:pStyle w:val="21"/>
        <w:shd w:val="clear" w:color="auto" w:fill="auto"/>
        <w:spacing w:before="0"/>
        <w:ind w:firstLine="560"/>
      </w:pPr>
      <w:r>
        <w:t>Если объем продажи какого-либо финансового актива превышает объем покупки, позиция называется короткой. Суть короткой позиции в том, что продано все, что было, и даже сверх того. То есть, часть сделок по продаже активов, заключена без покрытия. Взяты на себя обязательства по поставке тех активов, которых у продавца еще нет в наличии. Короткая позиция, не может длиться сколь угодно долго. Рано или поздно наступает срок ее закрытия (поставка актива). И к этому сроку придется купить нужное количество финансовых активов и тем самым закрыть короткую позицию.</w:t>
      </w:r>
    </w:p>
    <w:p w:rsidR="00A75B01" w:rsidRDefault="00A75B01">
      <w:pPr>
        <w:pStyle w:val="21"/>
        <w:shd w:val="clear" w:color="auto" w:fill="auto"/>
        <w:spacing w:before="0"/>
        <w:ind w:firstLine="560"/>
      </w:pPr>
      <w:r>
        <w:t>Риск короткой позиции - это риск роста цен на актив, который был продан, на момент его последующей покупки.</w:t>
      </w:r>
    </w:p>
    <w:p w:rsidR="00A75B01" w:rsidRDefault="00A75B01">
      <w:pPr>
        <w:pStyle w:val="21"/>
        <w:shd w:val="clear" w:color="auto" w:fill="auto"/>
        <w:spacing w:before="0"/>
        <w:ind w:firstLine="560"/>
      </w:pPr>
      <w:r>
        <w:t>Налогообложение коротких позиций имеет свои особенности.</w:t>
      </w:r>
    </w:p>
    <w:p w:rsidR="00A75B01" w:rsidRDefault="00A75B01">
      <w:pPr>
        <w:pStyle w:val="21"/>
        <w:shd w:val="clear" w:color="auto" w:fill="auto"/>
        <w:spacing w:before="0"/>
        <w:ind w:firstLine="560"/>
      </w:pPr>
      <w:r>
        <w:t>Первая особенность заключается в том, что определение финансового результата по коротким позициям осуществляется на дату ее закрытия.</w:t>
      </w:r>
    </w:p>
    <w:p w:rsidR="00A75B01" w:rsidRDefault="00A75B01">
      <w:pPr>
        <w:pStyle w:val="21"/>
        <w:shd w:val="clear" w:color="auto" w:fill="auto"/>
        <w:spacing w:before="0"/>
        <w:ind w:firstLine="560"/>
      </w:pPr>
      <w:r>
        <w:t>Вторая особенность заключается в том, что финансовый результат определяется как разница между ценой продажи финансового актива и стоимостью его обратного приобретения. При обратном приобретении ценных бумаг в первую очередь учитываются расходы по ценным бумагам, которые были реализованы первыми (метод ФИФО).</w:t>
      </w:r>
    </w:p>
    <w:p w:rsidR="00A75B01" w:rsidRDefault="00A75B01">
      <w:pPr>
        <w:pStyle w:val="21"/>
        <w:shd w:val="clear" w:color="auto" w:fill="auto"/>
        <w:spacing w:before="0" w:after="360"/>
        <w:ind w:firstLine="560"/>
      </w:pPr>
      <w:bookmarkStart w:id="35" w:name="bookmark24"/>
      <w:r>
        <w:t>Налоговую базу по доходам, полученным от коротких позиций, определяет ООО «Инвестиционная палата», в рамках брокерского договора.</w:t>
      </w:r>
      <w:bookmarkEnd w:id="35"/>
    </w:p>
    <w:p w:rsidR="00A75B01" w:rsidRDefault="00A75B01">
      <w:pPr>
        <w:pStyle w:val="11"/>
        <w:keepNext/>
        <w:keepLines/>
        <w:shd w:val="clear" w:color="auto" w:fill="auto"/>
        <w:spacing w:after="0" w:line="274" w:lineRule="exact"/>
        <w:ind w:firstLine="0"/>
      </w:pPr>
      <w:bookmarkStart w:id="36" w:name="_Toc66697476"/>
      <w:bookmarkStart w:id="37" w:name="_Toc66707251"/>
      <w:r>
        <w:t>Материальная выгода</w:t>
      </w:r>
      <w:bookmarkEnd w:id="36"/>
      <w:bookmarkEnd w:id="37"/>
    </w:p>
    <w:p w:rsidR="00A75B01" w:rsidRDefault="00A75B01">
      <w:pPr>
        <w:pStyle w:val="21"/>
        <w:shd w:val="clear" w:color="auto" w:fill="auto"/>
        <w:spacing w:before="0"/>
        <w:ind w:firstLine="560"/>
      </w:pPr>
      <w:r>
        <w:t>В случае приобретения ценных бумаг, производных финансовых инструментов по ценам ниже рыночных, у приобретателя возникает доход в виде материальной выгоды. Доход определяется как превышение рыночной стоимости ценных бумаг, производных финансовых инструментов над суммой фактических расходов физического лица на их приобретение.</w:t>
      </w:r>
    </w:p>
    <w:p w:rsidR="00A75B01" w:rsidRDefault="00A75B01">
      <w:pPr>
        <w:pStyle w:val="21"/>
        <w:shd w:val="clear" w:color="auto" w:fill="auto"/>
        <w:spacing w:before="0"/>
        <w:ind w:firstLine="560"/>
      </w:pPr>
      <w:r>
        <w:t>Датой фактического получения дохода признается день приобретения ценных бумаг.</w:t>
      </w:r>
    </w:p>
    <w:p w:rsidR="00A75B01" w:rsidRDefault="00A75B01">
      <w:pPr>
        <w:pStyle w:val="51"/>
        <w:shd w:val="clear" w:color="auto" w:fill="auto"/>
        <w:spacing w:before="0" w:line="274" w:lineRule="exact"/>
        <w:ind w:firstLine="560"/>
      </w:pPr>
    </w:p>
    <w:p w:rsidR="00A75B01" w:rsidRDefault="00A75B01">
      <w:pPr>
        <w:pStyle w:val="51"/>
        <w:shd w:val="clear" w:color="auto" w:fill="auto"/>
        <w:spacing w:before="0" w:line="274" w:lineRule="exact"/>
        <w:ind w:firstLine="560"/>
      </w:pPr>
      <w:r>
        <w:t>Например:</w:t>
      </w:r>
    </w:p>
    <w:p w:rsidR="00A75B01" w:rsidRDefault="00A75B01">
      <w:pPr>
        <w:pStyle w:val="51"/>
        <w:shd w:val="clear" w:color="auto" w:fill="auto"/>
        <w:spacing w:before="0" w:line="274" w:lineRule="exact"/>
        <w:ind w:firstLine="560"/>
      </w:pPr>
      <w:r>
        <w:t>Клиентом приобретены акции АО ГИТ в количестве 1000 шт. по цене 0,5 руб. за акцию. Рыночная котировка акций на дату их приобретения составляет 1,1 руб. за одну акцию. Материальная выгода клиента от приобретения ценных бумаг составит 600 руб. ((= 1,1руб. - 0,5руб.) х 1000 шт.). Сумма НДФЛ - 78 руб. (= 600 руб. х 13 %).</w:t>
      </w:r>
    </w:p>
    <w:p w:rsidR="00A75B01" w:rsidRDefault="00A75B01">
      <w:pPr>
        <w:pStyle w:val="21"/>
        <w:shd w:val="clear" w:color="auto" w:fill="auto"/>
        <w:spacing w:before="0"/>
        <w:ind w:firstLine="560"/>
      </w:pPr>
    </w:p>
    <w:p w:rsidR="00A75B01" w:rsidRDefault="00A75B01">
      <w:pPr>
        <w:pStyle w:val="21"/>
        <w:shd w:val="clear" w:color="auto" w:fill="auto"/>
        <w:spacing w:before="0"/>
        <w:ind w:firstLine="560"/>
      </w:pPr>
      <w:r>
        <w:t>Материальная выгода не возникает при приобретении налогоплательщиком ценных бумаг по первой или второй части РЕПО при условии исполнения сторонами обязательств по первой и второй частям РЕПО.</w:t>
      </w:r>
    </w:p>
    <w:p w:rsidR="00A75B01" w:rsidRDefault="00A75B01">
      <w:pPr>
        <w:pStyle w:val="21"/>
        <w:shd w:val="clear" w:color="auto" w:fill="auto"/>
        <w:spacing w:before="0"/>
        <w:ind w:firstLine="560"/>
      </w:pPr>
      <w:r>
        <w:t>Сумма налога с доходов в виде материальной выгоды, полученной от приобретения ценных бумаг клиентами - физическими лицами в рамках брокерских договоров, исчисляется, удерживается и перечисляется в бюджет ООО «Инвестиционная палата» как налоговым агентом.</w:t>
      </w:r>
    </w:p>
    <w:p w:rsidR="00A75B01" w:rsidRDefault="00A75B01">
      <w:pPr>
        <w:pStyle w:val="21"/>
        <w:shd w:val="clear" w:color="auto" w:fill="auto"/>
        <w:spacing w:before="0"/>
        <w:ind w:firstLine="560"/>
      </w:pPr>
      <w:r>
        <w:t>В случае если в последующем клиент реализует ценные бумаги, от приобретения которых был удержан налог с материальной выгоды, расходы на приобретение указанных ценных бумаг для расчета налогооблагаемой базы будут складываться из суммы их фактического приобретения, суммы материальной выгоды (абзац 8 пункта 13 статьи 214.1 НК РФ).</w:t>
      </w:r>
    </w:p>
    <w:p w:rsidR="00A75B01" w:rsidRDefault="00A75B01">
      <w:pPr>
        <w:pStyle w:val="51"/>
        <w:shd w:val="clear" w:color="auto" w:fill="auto"/>
        <w:spacing w:before="0" w:line="274" w:lineRule="exact"/>
        <w:ind w:firstLine="560"/>
      </w:pPr>
      <w:r>
        <w:t>Пример:</w:t>
      </w:r>
    </w:p>
    <w:p w:rsidR="00A75B01" w:rsidRDefault="00A75B01">
      <w:pPr>
        <w:pStyle w:val="51"/>
        <w:shd w:val="clear" w:color="auto" w:fill="auto"/>
        <w:spacing w:before="0" w:line="274" w:lineRule="exact"/>
        <w:ind w:firstLine="560"/>
      </w:pPr>
      <w:r>
        <w:t>Клиент совершил сделку по покупке 1000 акций АО ГИТ по цене 0,5 рублей за акцию. В день заключения сделки на покупку рыночная цена акций составляла 1,1 рублей за акцию. В результате совершения сделки на покупку акций у клиента образовалась материальная выгода в размере превышения рыночной цены акций над ценой их приобретения, т.е. 600 руб. ((= 1,1 руб. - 0,5руб.) х 1000 шт.). Сумма НДФЛ - 78 руб. (= 600 руб. х 13 %).</w:t>
      </w:r>
    </w:p>
    <w:p w:rsidR="00A75B01" w:rsidRDefault="00A75B01">
      <w:pPr>
        <w:pStyle w:val="51"/>
        <w:shd w:val="clear" w:color="auto" w:fill="auto"/>
        <w:spacing w:before="0" w:after="236" w:line="274" w:lineRule="exact"/>
        <w:ind w:firstLine="600"/>
      </w:pPr>
      <w:r>
        <w:t>В дальнейшем, при реализации акций АО ГИТ, расходы по их приобретению будут складываться из цены приобретения 500 руб., суммы материальной выгоды 600 рублей, т.е. 500 + 600  = 1 100руб. или 1,10руб. из расчета на одну акцию.</w:t>
      </w:r>
    </w:p>
    <w:p w:rsidR="00A75B01" w:rsidRDefault="00A75B01">
      <w:pPr>
        <w:pStyle w:val="21"/>
        <w:shd w:val="clear" w:color="auto" w:fill="auto"/>
        <w:spacing w:before="0" w:after="364" w:line="278" w:lineRule="exact"/>
        <w:ind w:firstLine="600"/>
      </w:pPr>
      <w:bookmarkStart w:id="38" w:name="bookmark26"/>
      <w:r>
        <w:t xml:space="preserve">Доходы в виде материальной выгоды не включаются в доходы по операциям с ценными бумагами, производными финансовыми инструментами, даже если активы, операции по ним учитываются на индивидуальном инвестиционном счете и определяются </w:t>
      </w:r>
      <w:bookmarkEnd w:id="38"/>
      <w:r>
        <w:t>отдельно.</w:t>
      </w:r>
    </w:p>
    <w:p w:rsidR="00A75B01" w:rsidRDefault="00A75B01">
      <w:pPr>
        <w:pStyle w:val="11"/>
        <w:keepNext/>
        <w:keepLines/>
        <w:shd w:val="clear" w:color="auto" w:fill="auto"/>
        <w:spacing w:after="0" w:line="274" w:lineRule="exact"/>
        <w:ind w:right="20" w:firstLine="0"/>
      </w:pPr>
      <w:bookmarkStart w:id="39" w:name="_Toc66697477"/>
      <w:bookmarkStart w:id="40" w:name="_Toc66707252"/>
      <w:r>
        <w:t>Индивидуальные инвестиционные счета</w:t>
      </w:r>
      <w:bookmarkEnd w:id="39"/>
      <w:bookmarkEnd w:id="40"/>
    </w:p>
    <w:p w:rsidR="00A75B01" w:rsidRDefault="00A75B01">
      <w:pPr>
        <w:pStyle w:val="21"/>
        <w:shd w:val="clear" w:color="auto" w:fill="auto"/>
        <w:spacing w:before="0"/>
        <w:ind w:firstLine="600"/>
      </w:pPr>
      <w:r>
        <w:t>Сегодня каждое физическое лицо - налоговый резидент Российской Федерации вправе открыть индивидуальный инвестиционный счет.</w:t>
      </w:r>
    </w:p>
    <w:p w:rsidR="00A75B01" w:rsidRDefault="00A75B01">
      <w:pPr>
        <w:pStyle w:val="21"/>
        <w:shd w:val="clear" w:color="auto" w:fill="auto"/>
        <w:spacing w:before="0"/>
        <w:ind w:firstLine="600"/>
      </w:pPr>
      <w:r>
        <w:t>Особенности индивидуального инвестиционного счета, определенные законом о рынке ценных бумаг тесно взаимосвязаны с особенностями налогообложения операций по данным счетам.</w:t>
      </w:r>
    </w:p>
    <w:p w:rsidR="00A75B01" w:rsidRDefault="00A75B01">
      <w:pPr>
        <w:pStyle w:val="21"/>
        <w:shd w:val="clear" w:color="auto" w:fill="auto"/>
        <w:spacing w:before="0"/>
        <w:ind w:firstLine="600"/>
      </w:pPr>
      <w:r>
        <w:t xml:space="preserve">Индивидуальный инвестиционный счет (ИИС) - это счет внутреннего учета, который предназначен для обособленного учета денежных средств и ценных бумаг клиента - физического лица, а также обязательств по договорам, заключенным за счет указанного клиента. Такой счет открывает и ведет брокер или доверительный управляющий на основании договора на брокерское обслуживание или договора доверительного управления ценными бумагами, в котором предусматривается открытие и ведение индивидуального инвестиционного счета (статья 10.2-1 Закона от 22.04.1996 </w:t>
      </w:r>
      <w:r>
        <w:rPr>
          <w:lang w:val="en-US" w:eastAsia="en-US"/>
        </w:rPr>
        <w:t>N</w:t>
      </w:r>
      <w:r w:rsidRPr="00EB42EE">
        <w:rPr>
          <w:lang w:eastAsia="en-US"/>
        </w:rPr>
        <w:t xml:space="preserve"> </w:t>
      </w:r>
      <w:r>
        <w:t>39-ФЗ «О рынке ценных бумаг»).</w:t>
      </w:r>
    </w:p>
    <w:p w:rsidR="00A75B01" w:rsidRDefault="00A75B01">
      <w:pPr>
        <w:pStyle w:val="21"/>
        <w:shd w:val="clear" w:color="auto" w:fill="auto"/>
        <w:spacing w:before="0"/>
        <w:ind w:firstLine="600"/>
      </w:pPr>
      <w:r>
        <w:t>Физическое лицо вправе иметь только один договор на ведение индивидуального инвестиционного счета. Денежные средства и ценные бумаги, которые учтены на индивидуальном инвестиционном счете, должны использоваться только:</w:t>
      </w:r>
    </w:p>
    <w:p w:rsidR="00A75B01" w:rsidRDefault="00A75B01" w:rsidP="00BA1CB1">
      <w:pPr>
        <w:pStyle w:val="21"/>
        <w:numPr>
          <w:ilvl w:val="0"/>
          <w:numId w:val="26"/>
        </w:numPr>
        <w:shd w:val="clear" w:color="auto" w:fill="auto"/>
        <w:tabs>
          <w:tab w:val="left" w:pos="756"/>
        </w:tabs>
        <w:spacing w:before="0"/>
      </w:pPr>
      <w:r>
        <w:t>для исполнения и (или) обеспечения обязательств, вытекающих из договоров, заключенных на основании договора на ведение ИИС;</w:t>
      </w:r>
    </w:p>
    <w:p w:rsidR="00A75B01" w:rsidRDefault="00A75B01" w:rsidP="00BA1CB1">
      <w:pPr>
        <w:pStyle w:val="21"/>
        <w:numPr>
          <w:ilvl w:val="0"/>
          <w:numId w:val="26"/>
        </w:numPr>
        <w:shd w:val="clear" w:color="auto" w:fill="auto"/>
        <w:tabs>
          <w:tab w:val="left" w:pos="802"/>
        </w:tabs>
        <w:spacing w:before="0"/>
      </w:pPr>
      <w:r>
        <w:t>для исполнения и (или) обеспечения обязательств по договору на ведение ИИС.</w:t>
      </w:r>
    </w:p>
    <w:p w:rsidR="00A75B01" w:rsidRPr="0038368E" w:rsidRDefault="00A75B01" w:rsidP="0038368E">
      <w:pPr>
        <w:ind w:firstLine="543"/>
        <w:jc w:val="both"/>
        <w:rPr>
          <w:rFonts w:ascii="Times New Roman" w:hAnsi="Times New Roman" w:cs="Times New Roman"/>
        </w:rPr>
      </w:pPr>
      <w:r w:rsidRPr="0038368E">
        <w:rPr>
          <w:rFonts w:ascii="Times New Roman" w:hAnsi="Times New Roman" w:cs="Times New Roman"/>
        </w:rPr>
        <w:t>На ведение индивидуального инвестиционного счета физическое лицо вправе передавать только денежные средства. При этом совокупная сумма денежных средств, которые могут быть переданы в течение календарного года по договору, не может превышать 1 000 тыс.руб. Инвестировать с ИИС можно в ценные бумаги и производные финансовые инструменты.</w:t>
      </w:r>
    </w:p>
    <w:p w:rsidR="00A75B01" w:rsidRPr="0038368E" w:rsidRDefault="00A75B01" w:rsidP="0038368E">
      <w:pPr>
        <w:ind w:firstLine="543"/>
        <w:jc w:val="both"/>
        <w:rPr>
          <w:rFonts w:ascii="Times New Roman" w:hAnsi="Times New Roman" w:cs="Times New Roman"/>
        </w:rPr>
      </w:pPr>
      <w:r w:rsidRPr="0038368E">
        <w:rPr>
          <w:rFonts w:ascii="Times New Roman" w:hAnsi="Times New Roman" w:cs="Times New Roman"/>
        </w:rPr>
        <w:t>Доходом, подлежащим налогообложению по операциям с ценными бумагами и с финансовыми инструментами срочных сделок, учитываемым на ИИС, признается прибыль, определяемая по совокупности операций соответствующих категорий финансовых инструментов нарастающим итогом за период с начала действия договора на ведение ИИС, по принципу: доходы, уменьшенные на величину расходов (статья 214.9 НК РФ). При этом финансовый результат определяется отдельно по следующим категориям финансовых инструментов:</w:t>
      </w:r>
    </w:p>
    <w:p w:rsidR="00A75B01" w:rsidRDefault="00A75B01" w:rsidP="0038368E">
      <w:pPr>
        <w:pStyle w:val="21"/>
        <w:numPr>
          <w:ilvl w:val="0"/>
          <w:numId w:val="41"/>
        </w:numPr>
        <w:shd w:val="clear" w:color="auto" w:fill="auto"/>
        <w:tabs>
          <w:tab w:val="left" w:pos="1164"/>
        </w:tabs>
        <w:spacing w:before="0" w:line="278" w:lineRule="exact"/>
      </w:pPr>
      <w:r>
        <w:t>по ценным бумагам, обращающимся на рынке ценных бумаг;</w:t>
      </w:r>
    </w:p>
    <w:p w:rsidR="00A75B01" w:rsidRDefault="00A75B01" w:rsidP="0038368E">
      <w:pPr>
        <w:pStyle w:val="21"/>
        <w:numPr>
          <w:ilvl w:val="0"/>
          <w:numId w:val="41"/>
        </w:numPr>
        <w:shd w:val="clear" w:color="auto" w:fill="auto"/>
        <w:tabs>
          <w:tab w:val="left" w:pos="1164"/>
        </w:tabs>
        <w:spacing w:before="0" w:line="278" w:lineRule="exact"/>
      </w:pPr>
      <w:r>
        <w:t>по ценным бумагам, не обращающимся на рынке ценных бумаг;</w:t>
      </w:r>
    </w:p>
    <w:p w:rsidR="00A75B01" w:rsidRDefault="00A75B01" w:rsidP="0038368E">
      <w:pPr>
        <w:pStyle w:val="21"/>
        <w:numPr>
          <w:ilvl w:val="0"/>
          <w:numId w:val="41"/>
        </w:numPr>
        <w:shd w:val="clear" w:color="auto" w:fill="auto"/>
        <w:tabs>
          <w:tab w:val="left" w:pos="1164"/>
        </w:tabs>
        <w:spacing w:before="0"/>
      </w:pPr>
      <w:r>
        <w:t>по производным финансовым инструментам,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p w:rsidR="00A75B01" w:rsidRDefault="00A75B01" w:rsidP="0038368E">
      <w:pPr>
        <w:pStyle w:val="21"/>
        <w:numPr>
          <w:ilvl w:val="0"/>
          <w:numId w:val="41"/>
        </w:numPr>
        <w:shd w:val="clear" w:color="auto" w:fill="auto"/>
        <w:tabs>
          <w:tab w:val="left" w:pos="1157"/>
        </w:tabs>
        <w:spacing w:before="0"/>
      </w:pPr>
      <w:r>
        <w:t>по производным финансовым инструментам, обращающимися на организованном рынке,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p w:rsidR="00A75B01" w:rsidRDefault="00A75B01" w:rsidP="0038368E">
      <w:pPr>
        <w:pStyle w:val="21"/>
        <w:numPr>
          <w:ilvl w:val="0"/>
          <w:numId w:val="41"/>
        </w:numPr>
        <w:shd w:val="clear" w:color="auto" w:fill="auto"/>
        <w:tabs>
          <w:tab w:val="left" w:pos="1157"/>
        </w:tabs>
        <w:spacing w:before="0"/>
      </w:pPr>
      <w:r>
        <w:t>по ценным бумагам, находящимся в РЕПО;</w:t>
      </w:r>
    </w:p>
    <w:p w:rsidR="00A75B01" w:rsidRDefault="00A75B01" w:rsidP="0038368E">
      <w:pPr>
        <w:pStyle w:val="21"/>
        <w:numPr>
          <w:ilvl w:val="0"/>
          <w:numId w:val="41"/>
        </w:numPr>
        <w:shd w:val="clear" w:color="auto" w:fill="auto"/>
        <w:tabs>
          <w:tab w:val="left" w:pos="1157"/>
        </w:tabs>
        <w:spacing w:before="0"/>
      </w:pPr>
      <w:r>
        <w:t>по ценным бумагам по договорам займа.</w:t>
      </w:r>
    </w:p>
    <w:p w:rsidR="00A75B01" w:rsidRPr="0038368E" w:rsidRDefault="00A75B01" w:rsidP="0038368E">
      <w:pPr>
        <w:ind w:firstLine="543"/>
        <w:jc w:val="both"/>
        <w:rPr>
          <w:rFonts w:ascii="Times New Roman" w:hAnsi="Times New Roman" w:cs="Times New Roman"/>
        </w:rPr>
      </w:pPr>
      <w:r w:rsidRPr="0038368E">
        <w:rPr>
          <w:rFonts w:ascii="Times New Roman" w:hAnsi="Times New Roman" w:cs="Times New Roman"/>
        </w:rPr>
        <w:t>Доходы в виде процента (купона, дисконта), полученные на ИИС по ценным бумагам, включаются в доходы по операциям с ценными бумагами, полученным на ИИС.</w:t>
      </w:r>
    </w:p>
    <w:p w:rsidR="00A75B01" w:rsidRPr="0038368E" w:rsidRDefault="00A75B01" w:rsidP="0038368E">
      <w:pPr>
        <w:ind w:firstLine="543"/>
        <w:jc w:val="both"/>
        <w:rPr>
          <w:rFonts w:ascii="Times New Roman" w:hAnsi="Times New Roman" w:cs="Times New Roman"/>
        </w:rPr>
      </w:pPr>
      <w:r w:rsidRPr="0038368E">
        <w:rPr>
          <w:rFonts w:ascii="Times New Roman" w:hAnsi="Times New Roman" w:cs="Times New Roman"/>
        </w:rPr>
        <w:t>Доходы в виде дивидендов, полученные на ИИС по ценным бумагам, в доходы по операциям с ценными бумагами, полученным на ИИС не включаются, а учитываются отдельно. Подлежат налогообложению в общем порядке как дивидендный доход на дату его получения.</w:t>
      </w:r>
    </w:p>
    <w:p w:rsidR="00A75B01" w:rsidRPr="0038368E" w:rsidRDefault="00A75B01" w:rsidP="0038368E">
      <w:pPr>
        <w:ind w:firstLine="543"/>
        <w:jc w:val="both"/>
        <w:rPr>
          <w:rFonts w:ascii="Times New Roman" w:hAnsi="Times New Roman" w:cs="Times New Roman"/>
        </w:rPr>
      </w:pPr>
      <w:r w:rsidRPr="0038368E">
        <w:rPr>
          <w:rFonts w:ascii="Times New Roman" w:hAnsi="Times New Roman" w:cs="Times New Roman"/>
        </w:rPr>
        <w:t>Отрицательный финансовый результат признается убытком.</w:t>
      </w:r>
    </w:p>
    <w:p w:rsidR="00A75B01" w:rsidRPr="0038368E" w:rsidRDefault="00A75B01" w:rsidP="0038368E">
      <w:pPr>
        <w:ind w:firstLine="543"/>
        <w:jc w:val="both"/>
        <w:rPr>
          <w:rFonts w:ascii="Times New Roman" w:hAnsi="Times New Roman" w:cs="Times New Roman"/>
        </w:rPr>
      </w:pPr>
      <w:r w:rsidRPr="0038368E">
        <w:rPr>
          <w:rFonts w:ascii="Times New Roman" w:hAnsi="Times New Roman" w:cs="Times New Roman"/>
        </w:rPr>
        <w:t>Убыток, полученный по совокупности операций с финансовыми инструментами, подлежит учету в особом порядке.</w:t>
      </w:r>
    </w:p>
    <w:tbl>
      <w:tblPr>
        <w:tblW w:w="9784" w:type="dxa"/>
        <w:tblCellMar>
          <w:left w:w="10" w:type="dxa"/>
          <w:right w:w="10" w:type="dxa"/>
        </w:tblCellMar>
        <w:tblLook w:val="0000"/>
      </w:tblPr>
      <w:tblGrid>
        <w:gridCol w:w="5078"/>
        <w:gridCol w:w="4706"/>
      </w:tblGrid>
      <w:tr w:rsidR="00A75B01" w:rsidTr="003D4AFB">
        <w:trPr>
          <w:cantSplit/>
          <w:trHeight w:hRule="exact" w:val="536"/>
        </w:trPr>
        <w:tc>
          <w:tcPr>
            <w:tcW w:w="5078" w:type="dxa"/>
            <w:tcBorders>
              <w:top w:val="single" w:sz="4" w:space="0" w:color="auto"/>
              <w:left w:val="single" w:sz="4" w:space="0" w:color="auto"/>
            </w:tcBorders>
            <w:shd w:val="clear" w:color="auto" w:fill="FFFFFF"/>
            <w:vAlign w:val="center"/>
          </w:tcPr>
          <w:p w:rsidR="00A75B01" w:rsidRPr="00913852" w:rsidRDefault="00A75B01" w:rsidP="00913852">
            <w:pPr>
              <w:jc w:val="center"/>
              <w:rPr>
                <w:rFonts w:ascii="Times New Roman" w:hAnsi="Times New Roman" w:cs="Times New Roman"/>
              </w:rPr>
            </w:pPr>
            <w:r w:rsidRPr="00913852">
              <w:rPr>
                <w:rFonts w:ascii="Times New Roman" w:hAnsi="Times New Roman" w:cs="Times New Roman"/>
              </w:rPr>
              <w:t>Вид убытка, полученный на ИИС</w:t>
            </w:r>
          </w:p>
        </w:tc>
        <w:tc>
          <w:tcPr>
            <w:tcW w:w="4706" w:type="dxa"/>
            <w:tcBorders>
              <w:top w:val="single" w:sz="4" w:space="0" w:color="auto"/>
              <w:left w:val="single" w:sz="4" w:space="0" w:color="auto"/>
              <w:right w:val="single" w:sz="4" w:space="0" w:color="auto"/>
            </w:tcBorders>
            <w:shd w:val="clear" w:color="auto" w:fill="FFFFFF"/>
            <w:vAlign w:val="center"/>
          </w:tcPr>
          <w:p w:rsidR="00A75B01" w:rsidRPr="00913852" w:rsidRDefault="00A75B01" w:rsidP="00913852">
            <w:pPr>
              <w:jc w:val="center"/>
              <w:rPr>
                <w:rFonts w:ascii="Times New Roman" w:hAnsi="Times New Roman" w:cs="Times New Roman"/>
              </w:rPr>
            </w:pPr>
            <w:r w:rsidRPr="00913852">
              <w:rPr>
                <w:rFonts w:ascii="Times New Roman" w:hAnsi="Times New Roman" w:cs="Times New Roman"/>
              </w:rPr>
              <w:t>Операции, в которых можно учесть убыток</w:t>
            </w:r>
          </w:p>
        </w:tc>
      </w:tr>
      <w:tr w:rsidR="00A75B01" w:rsidTr="003D4AFB">
        <w:trPr>
          <w:cantSplit/>
          <w:trHeight w:hRule="exact" w:val="2127"/>
        </w:trPr>
        <w:tc>
          <w:tcPr>
            <w:tcW w:w="5078" w:type="dxa"/>
            <w:tcBorders>
              <w:top w:val="single" w:sz="4" w:space="0" w:color="auto"/>
              <w:left w:val="single" w:sz="4" w:space="0" w:color="auto"/>
            </w:tcBorders>
            <w:shd w:val="clear" w:color="auto" w:fill="FFFFFF"/>
            <w:vAlign w:val="center"/>
          </w:tcPr>
          <w:p w:rsidR="00A75B01" w:rsidRPr="00913852" w:rsidRDefault="00A75B01" w:rsidP="006B2924">
            <w:pPr>
              <w:jc w:val="both"/>
              <w:rPr>
                <w:rFonts w:ascii="Times New Roman" w:hAnsi="Times New Roman" w:cs="Times New Roman"/>
              </w:rPr>
            </w:pPr>
            <w:r w:rsidRPr="00913852">
              <w:rPr>
                <w:rFonts w:ascii="Times New Roman" w:hAnsi="Times New Roman" w:cs="Times New Roman"/>
              </w:rPr>
              <w:t>Убыток по операциям с ценными бумагами, обращающимися на рынке.</w:t>
            </w:r>
          </w:p>
        </w:tc>
        <w:tc>
          <w:tcPr>
            <w:tcW w:w="4706" w:type="dxa"/>
            <w:tcBorders>
              <w:top w:val="single" w:sz="4" w:space="0" w:color="auto"/>
              <w:left w:val="single" w:sz="4" w:space="0" w:color="auto"/>
              <w:right w:val="single" w:sz="4" w:space="0" w:color="auto"/>
            </w:tcBorders>
            <w:shd w:val="clear" w:color="auto" w:fill="FFFFFF"/>
            <w:vAlign w:val="center"/>
          </w:tcPr>
          <w:p w:rsidR="00A75B01" w:rsidRPr="00913852" w:rsidRDefault="00A75B01" w:rsidP="006B2924">
            <w:pPr>
              <w:jc w:val="both"/>
              <w:rPr>
                <w:rFonts w:ascii="Times New Roman" w:hAnsi="Times New Roman" w:cs="Times New Roman"/>
              </w:rPr>
            </w:pPr>
            <w:r w:rsidRPr="00913852">
              <w:rPr>
                <w:rFonts w:ascii="Times New Roman" w:hAnsi="Times New Roman" w:cs="Times New Roman"/>
              </w:rPr>
              <w:t>По операциям с производными финансовыми инструментами, обращающимися на рынке, если их базисными активами являются ценные бумаги, финансовые инструменты, базисным активом которых являются ценные бумаги или фондовые индексы.</w:t>
            </w:r>
          </w:p>
        </w:tc>
      </w:tr>
      <w:tr w:rsidR="00A75B01" w:rsidTr="003D4AFB">
        <w:trPr>
          <w:cantSplit/>
          <w:trHeight w:hRule="exact" w:val="1612"/>
        </w:trPr>
        <w:tc>
          <w:tcPr>
            <w:tcW w:w="5078" w:type="dxa"/>
            <w:tcBorders>
              <w:top w:val="single" w:sz="4" w:space="0" w:color="auto"/>
              <w:left w:val="single" w:sz="4" w:space="0" w:color="auto"/>
            </w:tcBorders>
            <w:shd w:val="clear" w:color="auto" w:fill="FFFFFF"/>
            <w:vAlign w:val="center"/>
          </w:tcPr>
          <w:p w:rsidR="00A75B01" w:rsidRPr="00913852" w:rsidRDefault="00A75B01" w:rsidP="006B2924">
            <w:pPr>
              <w:jc w:val="both"/>
              <w:rPr>
                <w:rFonts w:ascii="Times New Roman" w:hAnsi="Times New Roman" w:cs="Times New Roman"/>
              </w:rPr>
            </w:pPr>
            <w:r w:rsidRPr="00913852">
              <w:rPr>
                <w:rFonts w:ascii="Times New Roman" w:hAnsi="Times New Roman" w:cs="Times New Roman"/>
              </w:rPr>
              <w:t>Убыток по операциям с производными финансовыми инструментами, обращающимися на рынке, если их базисными активами являются ценные бумаги, финансовые инструменты, базисным активом которых являются ценные бумаги или фондовые индексы.</w:t>
            </w:r>
          </w:p>
        </w:tc>
        <w:tc>
          <w:tcPr>
            <w:tcW w:w="4706" w:type="dxa"/>
            <w:tcBorders>
              <w:top w:val="single" w:sz="4" w:space="0" w:color="auto"/>
              <w:left w:val="single" w:sz="4" w:space="0" w:color="auto"/>
              <w:right w:val="single" w:sz="4" w:space="0" w:color="auto"/>
            </w:tcBorders>
            <w:shd w:val="clear" w:color="auto" w:fill="FFFFFF"/>
            <w:vAlign w:val="center"/>
          </w:tcPr>
          <w:p w:rsidR="00A75B01" w:rsidRPr="00913852" w:rsidRDefault="00A75B01" w:rsidP="006B2924">
            <w:pPr>
              <w:jc w:val="both"/>
              <w:rPr>
                <w:rFonts w:ascii="Times New Roman" w:hAnsi="Times New Roman" w:cs="Times New Roman"/>
              </w:rPr>
            </w:pPr>
            <w:r w:rsidRPr="00913852">
              <w:rPr>
                <w:rFonts w:ascii="Times New Roman" w:hAnsi="Times New Roman" w:cs="Times New Roman"/>
              </w:rPr>
              <w:t>По операциям с производными финансовыми инструментами, обращающимися на рынке.</w:t>
            </w:r>
          </w:p>
          <w:p w:rsidR="00A75B01" w:rsidRPr="00913852" w:rsidRDefault="00A75B01" w:rsidP="006B2924">
            <w:pPr>
              <w:jc w:val="both"/>
              <w:rPr>
                <w:rFonts w:ascii="Times New Roman" w:hAnsi="Times New Roman" w:cs="Times New Roman"/>
              </w:rPr>
            </w:pPr>
            <w:r w:rsidRPr="00913852">
              <w:rPr>
                <w:rFonts w:ascii="Times New Roman" w:hAnsi="Times New Roman" w:cs="Times New Roman"/>
              </w:rPr>
              <w:t>По операциям с ценными бумагами, обращающимися на рынке.</w:t>
            </w:r>
          </w:p>
        </w:tc>
      </w:tr>
      <w:tr w:rsidR="00A75B01" w:rsidTr="003D4AFB">
        <w:trPr>
          <w:cantSplit/>
          <w:trHeight w:hRule="exact" w:val="1638"/>
        </w:trPr>
        <w:tc>
          <w:tcPr>
            <w:tcW w:w="5078" w:type="dxa"/>
            <w:tcBorders>
              <w:top w:val="single" w:sz="4" w:space="0" w:color="auto"/>
              <w:left w:val="single" w:sz="4" w:space="0" w:color="auto"/>
              <w:bottom w:val="single" w:sz="4" w:space="0" w:color="auto"/>
            </w:tcBorders>
            <w:shd w:val="clear" w:color="auto" w:fill="FFFFFF"/>
            <w:vAlign w:val="center"/>
          </w:tcPr>
          <w:p w:rsidR="00A75B01" w:rsidRPr="00913852" w:rsidRDefault="00A75B01" w:rsidP="006B2924">
            <w:pPr>
              <w:jc w:val="both"/>
              <w:rPr>
                <w:rFonts w:ascii="Times New Roman" w:hAnsi="Times New Roman" w:cs="Times New Roman"/>
              </w:rPr>
            </w:pPr>
            <w:r w:rsidRPr="00913852">
              <w:rPr>
                <w:rFonts w:ascii="Times New Roman" w:hAnsi="Times New Roman" w:cs="Times New Roman"/>
              </w:rPr>
              <w:t>Убыток по производным финансовым инструментам, обращающимися на организованном рынке, базисным активом которых не являются ценные бумаги, фондовые индексы или иные производные финансовые инструменты</w:t>
            </w:r>
          </w:p>
        </w:tc>
        <w:tc>
          <w:tcPr>
            <w:tcW w:w="4706" w:type="dxa"/>
            <w:tcBorders>
              <w:top w:val="single" w:sz="4" w:space="0" w:color="auto"/>
              <w:left w:val="single" w:sz="4" w:space="0" w:color="auto"/>
              <w:bottom w:val="single" w:sz="4" w:space="0" w:color="auto"/>
              <w:right w:val="single" w:sz="4" w:space="0" w:color="auto"/>
            </w:tcBorders>
            <w:shd w:val="clear" w:color="auto" w:fill="FFFFFF"/>
            <w:vAlign w:val="center"/>
          </w:tcPr>
          <w:p w:rsidR="00A75B01" w:rsidRPr="00913852" w:rsidRDefault="00A75B01" w:rsidP="006B2924">
            <w:pPr>
              <w:jc w:val="both"/>
              <w:rPr>
                <w:rFonts w:ascii="Times New Roman" w:hAnsi="Times New Roman" w:cs="Times New Roman"/>
              </w:rPr>
            </w:pPr>
            <w:r w:rsidRPr="00913852">
              <w:rPr>
                <w:rFonts w:ascii="Times New Roman" w:hAnsi="Times New Roman" w:cs="Times New Roman"/>
              </w:rPr>
              <w:t>По операциям с производными финансовыми инструментами, обращающимися на организованном рынке.</w:t>
            </w:r>
          </w:p>
        </w:tc>
      </w:tr>
    </w:tbl>
    <w:p w:rsidR="00A75B01" w:rsidRDefault="00A75B01">
      <w:pPr>
        <w:rPr>
          <w:sz w:val="2"/>
          <w:szCs w:val="2"/>
        </w:rPr>
      </w:pPr>
    </w:p>
    <w:p w:rsidR="00A75B01" w:rsidRDefault="00A75B01">
      <w:pPr>
        <w:pStyle w:val="21"/>
        <w:shd w:val="clear" w:color="auto" w:fill="auto"/>
        <w:spacing w:before="179"/>
        <w:ind w:firstLine="600"/>
      </w:pPr>
      <w:r>
        <w:t>Финансовый результат по операциям, учитываемым на индивидуальном инвестиционном счете, определяется отдельно от финансового результата по иным операциям и не уменьшается на сумму убытка, полученного по операциям, не учитываемым на ИИС (абз.1 п.2 ст.214.9 НК РФ).</w:t>
      </w:r>
    </w:p>
    <w:p w:rsidR="00A75B01" w:rsidRDefault="00A75B01">
      <w:pPr>
        <w:pStyle w:val="21"/>
        <w:shd w:val="clear" w:color="auto" w:fill="auto"/>
        <w:spacing w:before="0" w:after="236"/>
        <w:ind w:firstLine="600"/>
      </w:pPr>
      <w:r>
        <w:t>Суммы убытка, полученные по операциям на ИИС, учитываются в уменьшение прибыли, полученной в последующих годах на ИИС, в течение всего срока действия договора на ведение ИИС. Суммы убытка, которые на дату окончания срока действия договора на ведение ИИС остались не учтенными, в дальнейшем нигде не используются.</w:t>
      </w:r>
    </w:p>
    <w:p w:rsidR="00A75B01" w:rsidRDefault="00A75B01">
      <w:pPr>
        <w:pStyle w:val="21"/>
        <w:shd w:val="clear" w:color="auto" w:fill="auto"/>
        <w:spacing w:before="0" w:line="278" w:lineRule="exact"/>
        <w:ind w:firstLine="600"/>
      </w:pPr>
      <w:r>
        <w:t>Исчисление, удержание и уплата в бюджет НДФЛ в отношении доходов, полученных клиентом на индивидуальном инвестиционном счете, осуществляется его налоговым агентом - ООО «Инвестиционная палата». НДФЛ исчисляется и удерживается ООО «Инвестиционная палата» в следующие сроки (пп.1 п.3 ст.214.9 НК РФ):</w:t>
      </w:r>
    </w:p>
    <w:p w:rsidR="00A75B01" w:rsidRDefault="00A75B01" w:rsidP="006B2924">
      <w:pPr>
        <w:pStyle w:val="21"/>
        <w:numPr>
          <w:ilvl w:val="0"/>
          <w:numId w:val="27"/>
        </w:numPr>
        <w:shd w:val="clear" w:color="auto" w:fill="auto"/>
        <w:tabs>
          <w:tab w:val="left" w:pos="1124"/>
        </w:tabs>
        <w:spacing w:before="0" w:line="278" w:lineRule="exact"/>
      </w:pPr>
      <w:r>
        <w:t>на дату выплаты клиенту дохода на его иной счет (не на счет ИИС) - исходя из суммы произведенной выплаты;</w:t>
      </w:r>
    </w:p>
    <w:p w:rsidR="00A75B01" w:rsidRDefault="00A75B01" w:rsidP="006B2924">
      <w:pPr>
        <w:pStyle w:val="21"/>
        <w:numPr>
          <w:ilvl w:val="0"/>
          <w:numId w:val="27"/>
        </w:numPr>
        <w:shd w:val="clear" w:color="auto" w:fill="auto"/>
        <w:tabs>
          <w:tab w:val="left" w:pos="1124"/>
        </w:tabs>
        <w:spacing w:before="0" w:after="244" w:line="278" w:lineRule="exact"/>
      </w:pPr>
      <w:r>
        <w:t>на дату прекращения договора на ведение индивидуального инвестиционного счета. Не считается прекращением договора на ведение индивидуального инвестиционного счета, в случае прекращения договора на ведение индивидуального инвестиционного счета с переводом всех активов, на другой индивидуальный инвестиционный счет, открытый тому же физическому лицу, в том числе у того же налогового агента.</w:t>
      </w:r>
    </w:p>
    <w:p w:rsidR="00A75B01" w:rsidRDefault="00A75B01">
      <w:pPr>
        <w:pStyle w:val="21"/>
        <w:shd w:val="clear" w:color="auto" w:fill="auto"/>
        <w:spacing w:before="0"/>
        <w:ind w:firstLine="560"/>
      </w:pPr>
      <w:r>
        <w:t>Исчисленную и удержанную сумму налога ООО «Инвестиционная палата» обязано уплатить в бюджет в срок не позднее одного месяца с даты удержания налога (с даты прекращения договора или вывода денежных средств).</w:t>
      </w:r>
    </w:p>
    <w:p w:rsidR="00A75B01" w:rsidRDefault="00A75B01">
      <w:pPr>
        <w:pStyle w:val="21"/>
        <w:shd w:val="clear" w:color="auto" w:fill="auto"/>
        <w:spacing w:before="0" w:after="391" w:line="278" w:lineRule="exact"/>
        <w:ind w:firstLine="560"/>
      </w:pPr>
      <w:bookmarkStart w:id="41" w:name="bookmark28"/>
      <w:r>
        <w:t>Сведения, в отношении операций, учитываемых на индивидуальном инвестиционном счете, представляются ООО «Инвестиционная палата» только по итогам года, в котором производилось исчисление и удержание налога.</w:t>
      </w:r>
      <w:bookmarkEnd w:id="41"/>
    </w:p>
    <w:p w:rsidR="00A75B01" w:rsidRDefault="00A75B01">
      <w:pPr>
        <w:pStyle w:val="11"/>
        <w:keepNext/>
        <w:keepLines/>
        <w:shd w:val="clear" w:color="auto" w:fill="auto"/>
        <w:spacing w:after="0" w:line="240" w:lineRule="exact"/>
        <w:ind w:firstLine="0"/>
      </w:pPr>
      <w:bookmarkStart w:id="42" w:name="_Toc66697478"/>
      <w:bookmarkStart w:id="43" w:name="_Toc66707253"/>
      <w:r>
        <w:t>Инвестиционные вычеты</w:t>
      </w:r>
      <w:bookmarkEnd w:id="42"/>
      <w:bookmarkEnd w:id="43"/>
    </w:p>
    <w:p w:rsidR="00A75B01" w:rsidRDefault="00A75B01">
      <w:pPr>
        <w:pStyle w:val="21"/>
        <w:shd w:val="clear" w:color="auto" w:fill="auto"/>
        <w:spacing w:before="0"/>
        <w:ind w:firstLine="560"/>
      </w:pPr>
      <w:r>
        <w:t>С 2015 года законодатель предоставляет налогоплательщикам, вкладывающим средства в ценные бумаги, возможность сэкономить на налоге (НДФЛ) за счет применения специальных вычетов - так называемых инвестиционных. Всего инвестиционных вычетов три типа: один - для получателей доходов от продажи обращающихся на рынке ценных бумаг, находившихся в собственности более 3 лет, а два (на выбор) - для владельцев индивидуальных инвестиционных счетов (статья 219.1 НК РФ).</w:t>
      </w:r>
    </w:p>
    <w:p w:rsidR="00A75B01" w:rsidRDefault="00A75B01">
      <w:pPr>
        <w:pStyle w:val="21"/>
        <w:shd w:val="clear" w:color="auto" w:fill="auto"/>
        <w:spacing w:before="0" w:after="240" w:line="278" w:lineRule="exact"/>
        <w:ind w:firstLine="560"/>
      </w:pPr>
      <w:r>
        <w:t>Рассмотрим более подробно каждый вид инвестиционного вычета и порядок его использования.</w:t>
      </w:r>
    </w:p>
    <w:p w:rsidR="00A75B01" w:rsidRDefault="00A75B01">
      <w:pPr>
        <w:pStyle w:val="11"/>
        <w:keepNext/>
        <w:keepLines/>
        <w:shd w:val="clear" w:color="auto" w:fill="auto"/>
        <w:spacing w:after="0" w:line="278" w:lineRule="exact"/>
        <w:ind w:firstLine="560"/>
        <w:jc w:val="both"/>
      </w:pPr>
      <w:bookmarkStart w:id="44" w:name="bookmark30"/>
      <w:bookmarkStart w:id="45" w:name="_Toc66697479"/>
      <w:bookmarkStart w:id="46" w:name="_Toc66707254"/>
      <w:r>
        <w:t>Вычет № 1 для продавцов долгосрочных ценных бумаг, обращающихся на организованном рынке ценных бумаг.</w:t>
      </w:r>
      <w:bookmarkEnd w:id="44"/>
      <w:bookmarkEnd w:id="45"/>
      <w:bookmarkEnd w:id="46"/>
    </w:p>
    <w:p w:rsidR="00A75B01" w:rsidRDefault="00A75B01" w:rsidP="005D06EF">
      <w:pPr>
        <w:pStyle w:val="21"/>
        <w:shd w:val="clear" w:color="auto" w:fill="auto"/>
        <w:spacing w:before="0" w:line="278" w:lineRule="exact"/>
        <w:ind w:firstLine="560"/>
      </w:pPr>
      <w:r>
        <w:t>Если физическим лицом при продаже (погашении) ценных бумаг, обращающихся на организованном рынке, получена прибыль, то данная прибыль не будет облагаться НДФЛ в определенном размере.  Размер необлагаемой прибыли за календарный год определяется как произведение 3 млн. руб. на количества полных лет нахождения проданных (погашенных) ценных бумаг в собственности.</w:t>
      </w:r>
    </w:p>
    <w:p w:rsidR="00A75B01" w:rsidRDefault="00A75B01">
      <w:pPr>
        <w:pStyle w:val="51"/>
        <w:shd w:val="clear" w:color="auto" w:fill="auto"/>
        <w:spacing w:before="0" w:line="274" w:lineRule="exact"/>
        <w:ind w:left="1100" w:firstLine="0"/>
      </w:pPr>
      <w:r>
        <w:t>Например:</w:t>
      </w:r>
    </w:p>
    <w:p w:rsidR="00A75B01" w:rsidRDefault="00A75B01">
      <w:pPr>
        <w:pStyle w:val="51"/>
        <w:shd w:val="clear" w:color="auto" w:fill="auto"/>
        <w:spacing w:before="0" w:line="274" w:lineRule="exact"/>
        <w:ind w:left="1100" w:firstLine="0"/>
      </w:pPr>
      <w:r>
        <w:t>При продаже ценных бумаг, находившихся в собственности полных три года, размер необлагаемой прибыли составит 9 млн. руб. (= 3 млн.руб. х 3 года).</w:t>
      </w:r>
    </w:p>
    <w:p w:rsidR="00A75B01" w:rsidRDefault="00A75B01" w:rsidP="001B6566">
      <w:pPr>
        <w:pStyle w:val="21"/>
        <w:shd w:val="clear" w:color="auto" w:fill="auto"/>
        <w:spacing w:before="0"/>
        <w:ind w:firstLine="543"/>
      </w:pPr>
      <w:r>
        <w:t>Для ценных бумаг с различными сроками нахождения в собственности, каждый из которых более трех лет, предусмотрен специальный порядок расчета вычета, усредняющий сумму вычета в зависимости от срока владения ценных бумаг (более подробно см.подпункт 2 пункт 2 ст.219.1 НК РФ)</w:t>
      </w:r>
    </w:p>
    <w:p w:rsidR="00A75B01" w:rsidRDefault="00A75B01" w:rsidP="005D06EF">
      <w:pPr>
        <w:pStyle w:val="21"/>
        <w:shd w:val="clear" w:color="auto" w:fill="auto"/>
        <w:spacing w:before="0"/>
        <w:ind w:firstLine="543"/>
      </w:pPr>
      <w:r>
        <w:t>При этом должны быть соблюдены следующие условия:</w:t>
      </w:r>
    </w:p>
    <w:p w:rsidR="00A75B01" w:rsidRDefault="00A75B01">
      <w:pPr>
        <w:pStyle w:val="21"/>
        <w:numPr>
          <w:ilvl w:val="0"/>
          <w:numId w:val="2"/>
        </w:numPr>
        <w:shd w:val="clear" w:color="auto" w:fill="auto"/>
        <w:tabs>
          <w:tab w:val="left" w:pos="1124"/>
        </w:tabs>
        <w:spacing w:before="0"/>
        <w:ind w:left="1100" w:hanging="380"/>
      </w:pPr>
      <w:r>
        <w:t xml:space="preserve">Ценные бумаги должны быть приобретены, начиная с 01.01.2014, </w:t>
      </w:r>
    </w:p>
    <w:p w:rsidR="00A75B01" w:rsidRDefault="00A75B01">
      <w:pPr>
        <w:pStyle w:val="21"/>
        <w:numPr>
          <w:ilvl w:val="0"/>
          <w:numId w:val="2"/>
        </w:numPr>
        <w:shd w:val="clear" w:color="auto" w:fill="auto"/>
        <w:tabs>
          <w:tab w:val="left" w:pos="1124"/>
        </w:tabs>
        <w:spacing w:before="0"/>
        <w:ind w:left="1100" w:hanging="380"/>
      </w:pPr>
      <w:r>
        <w:t>Ценные бумаги должны находиться в собственности более трех лет;</w:t>
      </w:r>
    </w:p>
    <w:p w:rsidR="00A75B01" w:rsidRPr="00FE64AA" w:rsidRDefault="00A75B01" w:rsidP="00FE64AA">
      <w:pPr>
        <w:ind w:firstLine="543"/>
        <w:jc w:val="both"/>
        <w:rPr>
          <w:rFonts w:ascii="Times New Roman" w:hAnsi="Times New Roman" w:cs="Times New Roman"/>
        </w:rPr>
      </w:pPr>
      <w:r w:rsidRPr="00FE64AA">
        <w:rPr>
          <w:rFonts w:ascii="Times New Roman" w:hAnsi="Times New Roman" w:cs="Times New Roman"/>
        </w:rPr>
        <w:t>Вычет можно заявлять за любой год, когда ценные бумаги продавались с прибылью. То есть вычетом можно воспользоваться неоднократно. Однако переносить неизрасходованную сумму вычета на следующий год нельзя (п.3 ст.210 НК РФ).</w:t>
      </w:r>
    </w:p>
    <w:p w:rsidR="00A75B01" w:rsidRPr="00FE64AA" w:rsidRDefault="00A75B01" w:rsidP="00FE64AA">
      <w:pPr>
        <w:ind w:firstLine="543"/>
        <w:jc w:val="both"/>
        <w:rPr>
          <w:rFonts w:ascii="Times New Roman" w:hAnsi="Times New Roman" w:cs="Times New Roman"/>
        </w:rPr>
      </w:pPr>
      <w:r w:rsidRPr="00FE64AA">
        <w:rPr>
          <w:rFonts w:ascii="Times New Roman" w:hAnsi="Times New Roman" w:cs="Times New Roman"/>
        </w:rPr>
        <w:t>Вычет можно получить у налогового агента и (или) в налоговом органе при представлении налоговой декларации по форме 3-НДФЛ.</w:t>
      </w:r>
    </w:p>
    <w:p w:rsidR="00A75B01" w:rsidRPr="00FE64AA" w:rsidRDefault="00A75B01" w:rsidP="00FE64AA">
      <w:pPr>
        <w:ind w:firstLine="543"/>
        <w:jc w:val="both"/>
        <w:rPr>
          <w:rFonts w:ascii="Times New Roman" w:hAnsi="Times New Roman" w:cs="Times New Roman"/>
        </w:rPr>
      </w:pPr>
      <w:r w:rsidRPr="00FE64AA">
        <w:rPr>
          <w:rFonts w:ascii="Times New Roman" w:hAnsi="Times New Roman" w:cs="Times New Roman"/>
        </w:rPr>
        <w:t>Вычет налоговым агентом (ООО «Инвестиционная палата») предоставляется физическому лицу при наличии заявления. Налоговый агент обязан предоставить физическому лицу (клиенту) расчет величины инвестиционного вычета.</w:t>
      </w:r>
    </w:p>
    <w:p w:rsidR="00A75B01" w:rsidRPr="00FE64AA" w:rsidRDefault="00A75B01" w:rsidP="00FE64AA">
      <w:pPr>
        <w:ind w:firstLine="543"/>
        <w:jc w:val="both"/>
        <w:rPr>
          <w:rFonts w:ascii="Times New Roman" w:hAnsi="Times New Roman" w:cs="Times New Roman"/>
        </w:rPr>
      </w:pPr>
      <w:r w:rsidRPr="00FE64AA">
        <w:rPr>
          <w:rFonts w:ascii="Times New Roman" w:hAnsi="Times New Roman" w:cs="Times New Roman"/>
        </w:rPr>
        <w:t>Вычет в налоговом органе предоставляется по месту жительства физического лица. Для получения вычета необходимо представить декларацию по форме 3-НДФЛ, с указанием в ней сведений из справок по форме 2-НДФЛ, полученных от всех брокеров, и суммы налога к возврату; предоставить копии документов, подтверждающие срок владения ценными бумагами не менее трех лет (договоры, справки из реестра, отчеты брокера).</w:t>
      </w:r>
    </w:p>
    <w:p w:rsidR="00A75B01" w:rsidRPr="00FE64AA" w:rsidRDefault="00A75B01" w:rsidP="00FE64AA">
      <w:pPr>
        <w:ind w:firstLine="543"/>
        <w:jc w:val="both"/>
        <w:rPr>
          <w:rFonts w:ascii="Times New Roman" w:hAnsi="Times New Roman" w:cs="Times New Roman"/>
        </w:rPr>
      </w:pPr>
      <w:r w:rsidRPr="00FE64AA">
        <w:rPr>
          <w:rFonts w:ascii="Times New Roman" w:hAnsi="Times New Roman" w:cs="Times New Roman"/>
        </w:rPr>
        <w:t>Если вычет предоставлялся у нескольких брокеров, и его совокупная величина превысила предельный размер, то необходимо представить декларацию по форме 3-НДФЛ и доплатить НДФЛ (подпункт 5 пункт 2 статьи 219.1 НК РФ).</w:t>
      </w:r>
    </w:p>
    <w:p w:rsidR="00A75B01" w:rsidRDefault="00A75B01" w:rsidP="00FE64AA">
      <w:pPr>
        <w:ind w:firstLine="543"/>
        <w:jc w:val="both"/>
        <w:rPr>
          <w:rFonts w:ascii="Times New Roman" w:hAnsi="Times New Roman" w:cs="Times New Roman"/>
        </w:rPr>
      </w:pPr>
      <w:r w:rsidRPr="00FE64AA">
        <w:rPr>
          <w:rFonts w:ascii="Times New Roman" w:hAnsi="Times New Roman" w:cs="Times New Roman"/>
        </w:rPr>
        <w:t>Налоговый вычет не применяется при реализации (погашении) ценных бумаг, учитываемых на индивидуальном инвестиционном счете.</w:t>
      </w:r>
    </w:p>
    <w:p w:rsidR="00A75B01" w:rsidRPr="00FE64AA" w:rsidRDefault="00A75B01" w:rsidP="00FE64AA">
      <w:pPr>
        <w:ind w:firstLine="543"/>
        <w:jc w:val="both"/>
        <w:rPr>
          <w:rFonts w:ascii="Times New Roman" w:hAnsi="Times New Roman" w:cs="Times New Roman"/>
        </w:rPr>
      </w:pPr>
    </w:p>
    <w:p w:rsidR="00A75B01" w:rsidRDefault="00A75B01">
      <w:pPr>
        <w:pStyle w:val="11"/>
        <w:keepNext/>
        <w:keepLines/>
        <w:shd w:val="clear" w:color="auto" w:fill="auto"/>
        <w:spacing w:after="0" w:line="240" w:lineRule="exact"/>
        <w:ind w:left="940"/>
        <w:jc w:val="both"/>
      </w:pPr>
      <w:bookmarkStart w:id="47" w:name="bookmark31"/>
      <w:bookmarkStart w:id="48" w:name="_Toc66697480"/>
      <w:bookmarkStart w:id="49" w:name="_Toc66707255"/>
      <w:r>
        <w:t>Вычет № 2 и № 3 по операциям на индивидуальном инвестиционном счете.</w:t>
      </w:r>
      <w:bookmarkEnd w:id="47"/>
      <w:bookmarkEnd w:id="48"/>
      <w:bookmarkEnd w:id="49"/>
    </w:p>
    <w:p w:rsidR="00A75B01" w:rsidRDefault="00A75B01">
      <w:pPr>
        <w:pStyle w:val="21"/>
        <w:shd w:val="clear" w:color="auto" w:fill="auto"/>
        <w:spacing w:before="0"/>
        <w:ind w:firstLine="580"/>
      </w:pPr>
      <w:r>
        <w:t>Для клиентов, владельцев индивидуальных инвестиционных счетов предусмотрены два инвестиционных вычета, на выбор:</w:t>
      </w:r>
    </w:p>
    <w:p w:rsidR="00A75B01" w:rsidRPr="003031C3" w:rsidRDefault="00A75B01" w:rsidP="003031C3">
      <w:pPr>
        <w:numPr>
          <w:ilvl w:val="0"/>
          <w:numId w:val="29"/>
        </w:numPr>
        <w:jc w:val="both"/>
        <w:rPr>
          <w:rFonts w:ascii="Times New Roman" w:hAnsi="Times New Roman" w:cs="Times New Roman"/>
        </w:rPr>
      </w:pPr>
      <w:r w:rsidRPr="003031C3">
        <w:rPr>
          <w:rFonts w:ascii="Times New Roman" w:hAnsi="Times New Roman" w:cs="Times New Roman"/>
        </w:rPr>
        <w:t>Вычет на сумму денежных средств, внесенных на индивидуальный инвестиционный счет (вычет № 2).</w:t>
      </w:r>
    </w:p>
    <w:p w:rsidR="00A75B01" w:rsidRPr="003031C3" w:rsidRDefault="00A75B01" w:rsidP="003031C3">
      <w:pPr>
        <w:numPr>
          <w:ilvl w:val="0"/>
          <w:numId w:val="29"/>
        </w:numPr>
        <w:jc w:val="both"/>
        <w:rPr>
          <w:rFonts w:ascii="Times New Roman" w:hAnsi="Times New Roman" w:cs="Times New Roman"/>
        </w:rPr>
      </w:pPr>
      <w:r w:rsidRPr="003031C3">
        <w:rPr>
          <w:rFonts w:ascii="Times New Roman" w:hAnsi="Times New Roman" w:cs="Times New Roman"/>
        </w:rPr>
        <w:t>Вычет на сумму положительного финансового результата, полученного по операциям, учитываемым на индивидуальном инвестиционном счете (вычет № 3).</w:t>
      </w:r>
    </w:p>
    <w:p w:rsidR="00A75B01" w:rsidRDefault="00A75B01" w:rsidP="00FE64AA">
      <w:pPr>
        <w:ind w:firstLine="543"/>
        <w:rPr>
          <w:rFonts w:ascii="Times New Roman" w:hAnsi="Times New Roman" w:cs="Times New Roman"/>
        </w:rPr>
      </w:pPr>
      <w:r w:rsidRPr="00FE64AA">
        <w:rPr>
          <w:rFonts w:ascii="Times New Roman" w:hAnsi="Times New Roman" w:cs="Times New Roman"/>
        </w:rPr>
        <w:t>Использовать одновременно два вычета нельзя.</w:t>
      </w:r>
    </w:p>
    <w:p w:rsidR="00A75B01" w:rsidRPr="00FE64AA" w:rsidRDefault="00A75B01" w:rsidP="00FE64AA">
      <w:pPr>
        <w:ind w:firstLine="543"/>
        <w:rPr>
          <w:rFonts w:ascii="Times New Roman" w:hAnsi="Times New Roman" w:cs="Times New Roman"/>
        </w:rPr>
      </w:pPr>
    </w:p>
    <w:p w:rsidR="00A75B01" w:rsidRPr="00303B3C" w:rsidRDefault="00A75B01" w:rsidP="00303B3C">
      <w:pPr>
        <w:pStyle w:val="51"/>
        <w:shd w:val="clear" w:color="auto" w:fill="auto"/>
        <w:spacing w:before="0" w:line="274" w:lineRule="exact"/>
        <w:ind w:left="543" w:firstLine="0"/>
        <w:jc w:val="left"/>
        <w:rPr>
          <w:b/>
          <w:bCs/>
          <w:i w:val="0"/>
          <w:iCs w:val="0"/>
        </w:rPr>
      </w:pPr>
      <w:r w:rsidRPr="00303B3C">
        <w:rPr>
          <w:b/>
          <w:bCs/>
          <w:i w:val="0"/>
          <w:iCs w:val="0"/>
        </w:rPr>
        <w:t xml:space="preserve">Вычет № 2 </w:t>
      </w:r>
      <w:r w:rsidRPr="00303B3C">
        <w:rPr>
          <w:b/>
          <w:bCs/>
          <w:i w:val="0"/>
        </w:rPr>
        <w:t>на сумму денежных средств, внесенных на счет индивидуальный инвестиционный счет.</w:t>
      </w:r>
    </w:p>
    <w:p w:rsidR="00A75B01" w:rsidRDefault="00A75B01">
      <w:pPr>
        <w:pStyle w:val="21"/>
        <w:shd w:val="clear" w:color="auto" w:fill="auto"/>
        <w:spacing w:before="0"/>
        <w:ind w:firstLine="580"/>
      </w:pPr>
      <w:r>
        <w:t xml:space="preserve">Суть вычета (льготы) заключается в том, что сумма денежных средств, внесенная физическим лицом на счет (ИИС) в течение года, в размере не более 400 тыс.руб. освобождается от обложения НДФЛ. С суммы, внесенной на счет, будет возвращен налог в размере 13 </w:t>
      </w:r>
      <w:r>
        <w:rPr>
          <w:rStyle w:val="211"/>
        </w:rPr>
        <w:t>%</w:t>
      </w:r>
      <w:r>
        <w:t xml:space="preserve"> от этой суммы (не более 52 000 руб. за год). Возвращаемая сумма налога не может превышать совокупную сумму НДФЛ уплаченную в бюджет за отчетный год по конкретному налогоплательщику (по ставке 13 %). То есть </w:t>
      </w:r>
      <w:r>
        <w:rPr>
          <w:rStyle w:val="213"/>
        </w:rPr>
        <w:t>из бюджета можно вернуть только уплаченный налог.</w:t>
      </w:r>
    </w:p>
    <w:p w:rsidR="00A75B01" w:rsidRDefault="00A75B01">
      <w:pPr>
        <w:pStyle w:val="51"/>
        <w:shd w:val="clear" w:color="auto" w:fill="auto"/>
        <w:spacing w:before="0" w:line="274" w:lineRule="exact"/>
        <w:ind w:left="940" w:hanging="360"/>
      </w:pPr>
    </w:p>
    <w:p w:rsidR="00A75B01" w:rsidRDefault="00A75B01">
      <w:pPr>
        <w:pStyle w:val="51"/>
        <w:shd w:val="clear" w:color="auto" w:fill="auto"/>
        <w:spacing w:before="0" w:line="274" w:lineRule="exact"/>
        <w:ind w:left="940" w:hanging="360"/>
      </w:pPr>
      <w:r>
        <w:t>Например:</w:t>
      </w:r>
    </w:p>
    <w:p w:rsidR="00A75B01" w:rsidRDefault="00A75B01">
      <w:pPr>
        <w:pStyle w:val="51"/>
        <w:shd w:val="clear" w:color="auto" w:fill="auto"/>
        <w:spacing w:before="0" w:line="274" w:lineRule="exact"/>
        <w:ind w:firstLine="580"/>
      </w:pPr>
      <w:r>
        <w:t xml:space="preserve">За 2016 год по физическому лицу налоговым агентом уплачен в бюджет НДФЛ в сумме 20 тыс.руб. В этом же году физическим лицом был открыт ИИС и на него внесены 400 тыс.руб. Сумма налога, подлежащая возврату физическому лицу, составит 20 тыс.руб., вместо максимальных 52 тыс. руб. (=400 тыс.руб. </w:t>
      </w:r>
      <w:r>
        <w:rPr>
          <w:lang w:val="en-US" w:eastAsia="en-US"/>
        </w:rPr>
        <w:t>x</w:t>
      </w:r>
      <w:r w:rsidRPr="00EB42EE">
        <w:rPr>
          <w:lang w:eastAsia="en-US"/>
        </w:rPr>
        <w:t xml:space="preserve"> </w:t>
      </w:r>
      <w:r>
        <w:t>13 %).</w:t>
      </w:r>
    </w:p>
    <w:p w:rsidR="00A75B01" w:rsidRDefault="00A75B01">
      <w:pPr>
        <w:pStyle w:val="21"/>
        <w:shd w:val="clear" w:color="auto" w:fill="auto"/>
        <w:spacing w:before="0"/>
        <w:ind w:firstLine="580"/>
      </w:pPr>
    </w:p>
    <w:p w:rsidR="00A75B01" w:rsidRDefault="00A75B01">
      <w:pPr>
        <w:pStyle w:val="21"/>
        <w:shd w:val="clear" w:color="auto" w:fill="auto"/>
        <w:spacing w:before="0"/>
        <w:ind w:firstLine="580"/>
      </w:pPr>
      <w:r>
        <w:t>Вычет можно получать ежегодно, на сумму ежегодно внесенных денежных средств (но не более 400 тыс.руб.) в течение срока действия договора на ведение ИИС. При этом сама доходность от операций по счету ИИС не учитывается. Учитываются только перечисленные денежные взносы на ИИС. Переносить неизрасходованную сумму вычета на следующий год нельзя (пункт 3 статьи 210 НК РФ). Вычет можно получить только в налоговой инспекции, по окончании года. Налоговый агент такой вычет не предоставляет.</w:t>
      </w:r>
    </w:p>
    <w:p w:rsidR="00A75B01" w:rsidRDefault="00A75B01">
      <w:pPr>
        <w:pStyle w:val="21"/>
        <w:shd w:val="clear" w:color="auto" w:fill="auto"/>
        <w:spacing w:before="0"/>
        <w:ind w:left="940" w:hanging="360"/>
      </w:pPr>
      <w:r>
        <w:t>Для получения вычета в налоговую инспекцию нужно представить:</w:t>
      </w:r>
    </w:p>
    <w:p w:rsidR="00A75B01" w:rsidRDefault="00A75B01" w:rsidP="004D31CB">
      <w:pPr>
        <w:pStyle w:val="21"/>
        <w:numPr>
          <w:ilvl w:val="0"/>
          <w:numId w:val="28"/>
        </w:numPr>
        <w:shd w:val="clear" w:color="auto" w:fill="auto"/>
        <w:tabs>
          <w:tab w:val="left" w:pos="984"/>
        </w:tabs>
        <w:spacing w:before="0"/>
      </w:pPr>
      <w:r>
        <w:t>Налоговую декларацию по форме 3-НДФЛ с указанием величины вычета и суммы налога к возврату;</w:t>
      </w:r>
    </w:p>
    <w:p w:rsidR="00A75B01" w:rsidRDefault="00A75B01" w:rsidP="004D31CB">
      <w:pPr>
        <w:pStyle w:val="21"/>
        <w:numPr>
          <w:ilvl w:val="0"/>
          <w:numId w:val="28"/>
        </w:numPr>
        <w:shd w:val="clear" w:color="auto" w:fill="auto"/>
        <w:tabs>
          <w:tab w:val="left" w:pos="984"/>
        </w:tabs>
        <w:spacing w:before="0" w:line="240" w:lineRule="exact"/>
      </w:pPr>
      <w:r>
        <w:t>Справку о доходах, полученную у брокера и иных налоговых агентов;</w:t>
      </w:r>
    </w:p>
    <w:p w:rsidR="00A75B01" w:rsidRDefault="00A75B01" w:rsidP="004D31CB">
      <w:pPr>
        <w:pStyle w:val="21"/>
        <w:numPr>
          <w:ilvl w:val="0"/>
          <w:numId w:val="28"/>
        </w:numPr>
        <w:shd w:val="clear" w:color="auto" w:fill="auto"/>
        <w:tabs>
          <w:tab w:val="left" w:pos="984"/>
        </w:tabs>
        <w:spacing w:before="0" w:line="240" w:lineRule="exact"/>
      </w:pPr>
      <w:r>
        <w:t>Договор с брокером (доверительным управляющим);</w:t>
      </w:r>
    </w:p>
    <w:p w:rsidR="00A75B01" w:rsidRDefault="00A75B01" w:rsidP="004D31CB">
      <w:pPr>
        <w:pStyle w:val="21"/>
        <w:numPr>
          <w:ilvl w:val="0"/>
          <w:numId w:val="28"/>
        </w:numPr>
        <w:shd w:val="clear" w:color="auto" w:fill="auto"/>
        <w:tabs>
          <w:tab w:val="left" w:pos="984"/>
        </w:tabs>
        <w:spacing w:before="0" w:line="240" w:lineRule="exact"/>
      </w:pPr>
      <w:r>
        <w:t>Документы, подтверждающие зачисление средств на ИИС.</w:t>
      </w:r>
    </w:p>
    <w:p w:rsidR="00A75B01" w:rsidRDefault="00A75B01">
      <w:pPr>
        <w:pStyle w:val="21"/>
        <w:shd w:val="clear" w:color="auto" w:fill="auto"/>
        <w:spacing w:before="0" w:line="269" w:lineRule="exact"/>
        <w:ind w:firstLine="580"/>
      </w:pPr>
      <w:r>
        <w:t>Налоговый вычет предоставляется по договорам со сроком действия договора на ведение индивидуального инвестиционного счета более трех лет.</w:t>
      </w:r>
    </w:p>
    <w:p w:rsidR="00A75B01" w:rsidRDefault="00A75B01">
      <w:pPr>
        <w:pStyle w:val="21"/>
        <w:shd w:val="clear" w:color="auto" w:fill="auto"/>
        <w:spacing w:before="0" w:after="240"/>
        <w:ind w:firstLine="580"/>
      </w:pPr>
      <w:r>
        <w:t>В случае прекращения договора на ведение индивидуального инвестиционного счета до истечения трех лет, сумма налога, ранее возмещенная из бюджета в связи с применением вычета, подлежит восстановлению и уплате в бюджет с взысканием с физического лица соответствующих сумм пеней. Пересчет налоговых обязательств производится физическим лицом самостоятельно или налоговым органом.</w:t>
      </w:r>
    </w:p>
    <w:p w:rsidR="00A75B01" w:rsidRPr="004D31CB" w:rsidRDefault="00A75B01" w:rsidP="004D31CB">
      <w:pPr>
        <w:pStyle w:val="51"/>
        <w:shd w:val="clear" w:color="auto" w:fill="auto"/>
        <w:spacing w:before="0" w:line="274" w:lineRule="exact"/>
        <w:ind w:left="543" w:firstLine="0"/>
        <w:jc w:val="left"/>
        <w:rPr>
          <w:b/>
        </w:rPr>
      </w:pPr>
      <w:r w:rsidRPr="004D31CB">
        <w:rPr>
          <w:rStyle w:val="52"/>
          <w:b/>
          <w:iCs/>
          <w:u w:val="none"/>
        </w:rPr>
        <w:t>Вычет №3 на сумму положительного финансового результата, полученного по операциям, учитываемым на индивидуальном инвестиционном счете.</w:t>
      </w:r>
    </w:p>
    <w:p w:rsidR="00A75B01" w:rsidRDefault="00A75B01" w:rsidP="00084E5D">
      <w:pPr>
        <w:pStyle w:val="21"/>
        <w:shd w:val="clear" w:color="auto" w:fill="auto"/>
        <w:spacing w:before="0"/>
        <w:ind w:firstLine="543"/>
      </w:pPr>
      <w:r>
        <w:t>Суть льготы (вычета) заключается в том, что прибыль, полученная физическим лицом на индивидуальном инвестиционном счете, освобождается от налогообложения налогом (НДФЛ). Предельный размер прибыли не ограничен. Вычет предоставляется при условии наличия только одного действующего договора на ведение ИИС, заключенного с 2015 года на срок не менее трех лет.</w:t>
      </w:r>
    </w:p>
    <w:p w:rsidR="00A75B01" w:rsidRDefault="00A75B01">
      <w:pPr>
        <w:pStyle w:val="21"/>
        <w:shd w:val="clear" w:color="auto" w:fill="auto"/>
        <w:spacing w:before="0"/>
        <w:ind w:firstLine="580"/>
      </w:pPr>
      <w:r>
        <w:t>Вычетом можно воспользоваться разово, по окончании срока действия договора на ведение ИИС, но не ранее чем по истечении трех лет, от даты заключения договора, при условии, что в течение срока действия договора не был получен вычет (вычет № 2) в сумме денежных средств, внесенных на ИИС.</w:t>
      </w:r>
    </w:p>
    <w:p w:rsidR="00A75B01" w:rsidRDefault="00A75B01">
      <w:pPr>
        <w:pStyle w:val="21"/>
        <w:shd w:val="clear" w:color="auto" w:fill="auto"/>
        <w:spacing w:before="0"/>
        <w:ind w:firstLine="580"/>
      </w:pPr>
      <w:r>
        <w:t>По своему выбору клиент может получить налоговый вычет как у налогового агента, так и в налоговой инспекции (подпункт 3 пункт 4 статьи 219.1 НК РФ).</w:t>
      </w:r>
    </w:p>
    <w:p w:rsidR="00A75B01" w:rsidRDefault="00A75B01">
      <w:pPr>
        <w:pStyle w:val="21"/>
        <w:shd w:val="clear" w:color="auto" w:fill="auto"/>
        <w:spacing w:before="0"/>
        <w:ind w:firstLine="580"/>
      </w:pPr>
      <w:r>
        <w:t>Налоговый агент (брокер), предоставляет вычет на дату прекращения договора ИИС. Для получения вычета, физическому лицу необходимо представить налоговому агенту (брокеру) заявление, составленное в произвольной форме и справку из налогового органа о том, что за время открытия ИИС, отсутствовали другие открытые ИИС, и ни разу не предоставлялся вычет в сумме вложений на ИИС (вычет № 2). Если все документы представлены, то с прибыли, полученной клиентом от операций на ИИС налог налоговым агентом удерживаться не будет.</w:t>
      </w:r>
    </w:p>
    <w:p w:rsidR="00A75B01" w:rsidRDefault="00A75B01">
      <w:pPr>
        <w:pStyle w:val="51"/>
        <w:shd w:val="clear" w:color="auto" w:fill="auto"/>
        <w:spacing w:before="0" w:line="274" w:lineRule="exact"/>
        <w:ind w:left="940" w:hanging="360"/>
      </w:pPr>
    </w:p>
    <w:p w:rsidR="00A75B01" w:rsidRDefault="00A75B01">
      <w:pPr>
        <w:pStyle w:val="51"/>
        <w:shd w:val="clear" w:color="auto" w:fill="auto"/>
        <w:spacing w:before="0" w:line="274" w:lineRule="exact"/>
        <w:ind w:left="940" w:hanging="360"/>
      </w:pPr>
      <w:r>
        <w:t>Например:</w:t>
      </w:r>
    </w:p>
    <w:p w:rsidR="00A75B01" w:rsidRDefault="00A75B01">
      <w:pPr>
        <w:pStyle w:val="51"/>
        <w:shd w:val="clear" w:color="auto" w:fill="auto"/>
        <w:spacing w:before="0" w:line="274" w:lineRule="exact"/>
        <w:ind w:firstLine="580"/>
      </w:pPr>
      <w:r>
        <w:t>В январе 2015 году физическим лицом через брокера открыт ИИС. За период с 2015 года по 2017 год включительно, иные счета ИИС физическим лицом не открывались. В феврале 2018 года договор на ведение ИИС прекращен. Брокеру предоставлено заявления на получение вычета в сумме прибыли полученной на ИИС. За период действия ИИС физическим лицом получена совокупная прибыль в размере 10 млн.руб. За 2018 год физическим лицом от иных операций с ценными бумагами получена прибыль в размере 2 млн.руб. За 2018 год налогооблагаемая база физического лица будет рассчитана следующим образом: Доход (12 млн.руб.=10 млн.руб. + 2 млн.руб.) - Инвестиционный вычет (10млн.руб.). Итого 2 млн.руб. Налог в бюджет будет уплачен в сумме 260 тыс.руб. (= 2 млн.руб. х 13 %).</w:t>
      </w:r>
    </w:p>
    <w:p w:rsidR="00A75B01" w:rsidRDefault="00A75B01">
      <w:pPr>
        <w:pStyle w:val="21"/>
        <w:shd w:val="clear" w:color="auto" w:fill="auto"/>
        <w:spacing w:before="0"/>
        <w:ind w:firstLine="580"/>
      </w:pPr>
    </w:p>
    <w:p w:rsidR="00A75B01" w:rsidRDefault="00A75B01">
      <w:pPr>
        <w:pStyle w:val="21"/>
        <w:shd w:val="clear" w:color="auto" w:fill="auto"/>
        <w:spacing w:before="0"/>
        <w:ind w:firstLine="580"/>
      </w:pPr>
      <w:r>
        <w:t>Вычет в налоговой инспекции можно получить только по окончании календарного года. Для получения вычета физическому лицу необходимо:</w:t>
      </w:r>
    </w:p>
    <w:p w:rsidR="00A75B01" w:rsidRDefault="00A75B01" w:rsidP="00884816">
      <w:pPr>
        <w:pStyle w:val="21"/>
        <w:numPr>
          <w:ilvl w:val="0"/>
          <w:numId w:val="30"/>
        </w:numPr>
        <w:shd w:val="clear" w:color="auto" w:fill="auto"/>
        <w:tabs>
          <w:tab w:val="left" w:pos="984"/>
        </w:tabs>
        <w:spacing w:before="0" w:line="278" w:lineRule="exact"/>
      </w:pPr>
      <w:r>
        <w:t>Получить у налогового агента (брокера) справку о доходах, и справку о сумме прибыли, полученной клиентом от операций на ИИС;</w:t>
      </w:r>
    </w:p>
    <w:p w:rsidR="00A75B01" w:rsidRDefault="00A75B01" w:rsidP="00884816">
      <w:pPr>
        <w:pStyle w:val="21"/>
        <w:numPr>
          <w:ilvl w:val="0"/>
          <w:numId w:val="30"/>
        </w:numPr>
        <w:shd w:val="clear" w:color="auto" w:fill="auto"/>
        <w:tabs>
          <w:tab w:val="left" w:pos="984"/>
        </w:tabs>
        <w:spacing w:before="0"/>
      </w:pPr>
      <w:r>
        <w:t>Подать в налоговый орган декларацию по форме 3-НДФЛ, указав в ней доходы и расходы от операций на ИИС, удержанную и перечисленную в бюджет налоговым агентом (брокером) сумму налога, подлежащую возврату в связи с применением вычета. Приложить к декларации справки, полученные от налогового агента (брокера), информацию о договоре на ИИС. В случае подтверждения права на налоговый вычет, сумма налога будет возвращена налоговым органом на счет налогоплательщика не ранее четырех месяцев после предоставления декларации.</w:t>
      </w:r>
    </w:p>
    <w:p w:rsidR="00A75B01" w:rsidRDefault="00A75B01" w:rsidP="00245C8F">
      <w:pPr>
        <w:pStyle w:val="21"/>
        <w:shd w:val="clear" w:color="auto" w:fill="auto"/>
        <w:tabs>
          <w:tab w:val="left" w:pos="984"/>
        </w:tabs>
        <w:spacing w:before="0"/>
        <w:ind w:left="360" w:firstLine="0"/>
      </w:pPr>
    </w:p>
    <w:p w:rsidR="00A75B01" w:rsidRDefault="00A75B01" w:rsidP="00245C8F">
      <w:pPr>
        <w:pStyle w:val="11"/>
        <w:keepNext/>
        <w:keepLines/>
        <w:shd w:val="clear" w:color="auto" w:fill="auto"/>
        <w:spacing w:after="0" w:line="240" w:lineRule="exact"/>
        <w:ind w:firstLine="0"/>
      </w:pPr>
      <w:bookmarkStart w:id="50" w:name="_Toc66707256"/>
      <w:r>
        <w:t>Ликвидация эмитента</w:t>
      </w:r>
      <w:bookmarkEnd w:id="50"/>
    </w:p>
    <w:p w:rsidR="00A75B01" w:rsidRDefault="00A75B01" w:rsidP="00464CE3">
      <w:pPr>
        <w:pStyle w:val="21"/>
        <w:shd w:val="clear" w:color="auto" w:fill="auto"/>
        <w:tabs>
          <w:tab w:val="left" w:pos="984"/>
        </w:tabs>
        <w:spacing w:before="0"/>
        <w:ind w:firstLine="543"/>
      </w:pPr>
      <w:r>
        <w:t>Если эмитент ценных бумаг ликвидировался и акционеру, по результатам такой ликвидации были перечисленные средства (передано ликвидационное имущество) то эти средства (имущество) являются доходом такого акционера, подлежащего налогообложению НДФЛ.</w:t>
      </w:r>
    </w:p>
    <w:p w:rsidR="00A75B01" w:rsidRDefault="00A75B01" w:rsidP="001A6B14">
      <w:pPr>
        <w:pStyle w:val="21"/>
        <w:shd w:val="clear" w:color="auto" w:fill="auto"/>
        <w:tabs>
          <w:tab w:val="left" w:pos="984"/>
        </w:tabs>
        <w:spacing w:before="0"/>
        <w:ind w:firstLine="543"/>
      </w:pPr>
      <w:r>
        <w:t>Однако законодатель для данного случая предусмотрел возможность акционеру воспользоваться имущественным налоговым вычетом (подпункт 1 пункта 1 статьи 220 НК РФ). Этот вычет возможен как при получении денежных средств, так и при получении иного имущества (имущественных прав) акционером (участником, пайщиком). Акционер (участник, пайщик) организации может уменьшить сумму своих доходов, полученных от ликвидируемой организации на сумму фактически произведенных им и документально подтвержденных расходов, связанных с приобретением акций этой организации.</w:t>
      </w:r>
    </w:p>
    <w:p w:rsidR="00A75B01" w:rsidRDefault="00A75B01" w:rsidP="00C816BA">
      <w:pPr>
        <w:pStyle w:val="21"/>
        <w:shd w:val="clear" w:color="auto" w:fill="auto"/>
        <w:tabs>
          <w:tab w:val="left" w:pos="984"/>
        </w:tabs>
        <w:spacing w:before="0"/>
        <w:ind w:firstLine="543"/>
      </w:pPr>
      <w:r>
        <w:t>Следует учитывать, что если при ликвидации эмитента выплаты в пользу акционера отсутствуют, то сумма затрат произведенная им на покупку ценных бумаг эмитента, не может быть учтена в составе убытка по ценным бумагам. Данные расходы теряются.</w:t>
      </w:r>
    </w:p>
    <w:p w:rsidR="00A75B01" w:rsidRDefault="00A75B01" w:rsidP="001A6B14">
      <w:pPr>
        <w:pStyle w:val="21"/>
        <w:shd w:val="clear" w:color="auto" w:fill="auto"/>
        <w:tabs>
          <w:tab w:val="left" w:pos="984"/>
        </w:tabs>
        <w:spacing w:before="0"/>
        <w:ind w:firstLine="543"/>
      </w:pPr>
    </w:p>
    <w:sectPr w:rsidR="00A75B01" w:rsidSect="0038368E">
      <w:footerReference w:type="even" r:id="rId7"/>
      <w:footerReference w:type="default" r:id="rId8"/>
      <w:pgSz w:w="11900" w:h="16840" w:code="9"/>
      <w:pgMar w:top="851" w:right="851" w:bottom="851" w:left="1349" w:header="454" w:footer="45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B01" w:rsidRDefault="00A75B01" w:rsidP="00BC2DA3">
      <w:r>
        <w:separator/>
      </w:r>
    </w:p>
  </w:endnote>
  <w:endnote w:type="continuationSeparator" w:id="0">
    <w:p w:rsidR="00A75B01" w:rsidRDefault="00A75B01" w:rsidP="00BC2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01" w:rsidRDefault="00A75B01" w:rsidP="00767434">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A75B01" w:rsidRDefault="00A75B01" w:rsidP="003411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01" w:rsidRDefault="00A75B01" w:rsidP="00767434">
    <w:pPr>
      <w:pStyle w:val="Footer"/>
      <w:framePr w:wrap="around" w:vAnchor="text" w:hAnchor="margin" w:xAlign="right" w:y="1"/>
      <w:rPr>
        <w:rStyle w:val="PageNumber"/>
        <w:rFonts w:cs="Tahoma"/>
      </w:rPr>
    </w:pPr>
  </w:p>
  <w:p w:rsidR="00A75B01" w:rsidRDefault="00A75B01" w:rsidP="0034112A">
    <w:pPr>
      <w:ind w:right="360"/>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41.45pt;margin-top:797.75pt;width:10.1pt;height:7.9pt;z-index:-251656192;mso-wrap-style:none;mso-wrap-distance-left:5pt;mso-wrap-distance-right:5pt;mso-position-horizontal-relative:page;mso-position-vertical-relative:page" filled="f" stroked="f">
          <v:textbox style="mso-next-textbox:#_x0000_s2049;mso-fit-shape-to-text:t" inset="0,0,0,0">
            <w:txbxContent>
              <w:p w:rsidR="00A75B01" w:rsidRDefault="00A75B01">
                <w:pPr>
                  <w:pStyle w:val="1"/>
                  <w:shd w:val="clear" w:color="auto" w:fill="auto"/>
                  <w:spacing w:line="240" w:lineRule="auto"/>
                </w:pPr>
                <w:fldSimple w:instr=" PAGE \* MERGEFORMAT ">
                  <w:r w:rsidRPr="00C816BA">
                    <w:rPr>
                      <w:rStyle w:val="a0"/>
                      <w:noProof/>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B01" w:rsidRDefault="00A75B01"/>
  </w:footnote>
  <w:footnote w:type="continuationSeparator" w:id="0">
    <w:p w:rsidR="00A75B01" w:rsidRDefault="00A75B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A8DC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5A65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C0C7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C859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6412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04B0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26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0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6E9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98B6B4"/>
    <w:lvl w:ilvl="0">
      <w:start w:val="1"/>
      <w:numFmt w:val="bullet"/>
      <w:lvlText w:val=""/>
      <w:lvlJc w:val="left"/>
      <w:pPr>
        <w:tabs>
          <w:tab w:val="num" w:pos="360"/>
        </w:tabs>
        <w:ind w:left="360" w:hanging="360"/>
      </w:pPr>
      <w:rPr>
        <w:rFonts w:ascii="Symbol" w:hAnsi="Symbol" w:hint="default"/>
      </w:rPr>
    </w:lvl>
  </w:abstractNum>
  <w:abstractNum w:abstractNumId="10">
    <w:nsid w:val="07061A74"/>
    <w:multiLevelType w:val="hybridMultilevel"/>
    <w:tmpl w:val="0FF0BEE8"/>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520EA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AF3FEF"/>
    <w:multiLevelType w:val="hybridMultilevel"/>
    <w:tmpl w:val="FB9082D6"/>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C7141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5B44CE3"/>
    <w:multiLevelType w:val="hybridMultilevel"/>
    <w:tmpl w:val="BE787784"/>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CA25A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B1F358C"/>
    <w:multiLevelType w:val="hybridMultilevel"/>
    <w:tmpl w:val="E34A3682"/>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D42198C"/>
    <w:multiLevelType w:val="hybridMultilevel"/>
    <w:tmpl w:val="9C9E06E2"/>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850E26"/>
    <w:multiLevelType w:val="hybridMultilevel"/>
    <w:tmpl w:val="EE561D22"/>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9B4FF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3763199"/>
    <w:multiLevelType w:val="hybridMultilevel"/>
    <w:tmpl w:val="D5F84194"/>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902608F"/>
    <w:multiLevelType w:val="hybridMultilevel"/>
    <w:tmpl w:val="2D9C151E"/>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2F175D"/>
    <w:multiLevelType w:val="hybridMultilevel"/>
    <w:tmpl w:val="F4F2A4E8"/>
    <w:lvl w:ilvl="0" w:tplc="FFFFFFF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576"/>
        </w:tabs>
        <w:ind w:left="576" w:hanging="360"/>
      </w:pPr>
      <w:rPr>
        <w:rFonts w:cs="Times New Roman"/>
      </w:rPr>
    </w:lvl>
    <w:lvl w:ilvl="2" w:tplc="0419001B" w:tentative="1">
      <w:start w:val="1"/>
      <w:numFmt w:val="lowerRoman"/>
      <w:lvlText w:val="%3."/>
      <w:lvlJc w:val="right"/>
      <w:pPr>
        <w:tabs>
          <w:tab w:val="num" w:pos="1296"/>
        </w:tabs>
        <w:ind w:left="1296" w:hanging="180"/>
      </w:pPr>
      <w:rPr>
        <w:rFonts w:cs="Times New Roman"/>
      </w:rPr>
    </w:lvl>
    <w:lvl w:ilvl="3" w:tplc="0419000F" w:tentative="1">
      <w:start w:val="1"/>
      <w:numFmt w:val="decimal"/>
      <w:lvlText w:val="%4."/>
      <w:lvlJc w:val="left"/>
      <w:pPr>
        <w:tabs>
          <w:tab w:val="num" w:pos="2016"/>
        </w:tabs>
        <w:ind w:left="2016" w:hanging="360"/>
      </w:pPr>
      <w:rPr>
        <w:rFonts w:cs="Times New Roman"/>
      </w:rPr>
    </w:lvl>
    <w:lvl w:ilvl="4" w:tplc="04190019" w:tentative="1">
      <w:start w:val="1"/>
      <w:numFmt w:val="lowerLetter"/>
      <w:lvlText w:val="%5."/>
      <w:lvlJc w:val="left"/>
      <w:pPr>
        <w:tabs>
          <w:tab w:val="num" w:pos="2736"/>
        </w:tabs>
        <w:ind w:left="2736" w:hanging="360"/>
      </w:pPr>
      <w:rPr>
        <w:rFonts w:cs="Times New Roman"/>
      </w:rPr>
    </w:lvl>
    <w:lvl w:ilvl="5" w:tplc="0419001B" w:tentative="1">
      <w:start w:val="1"/>
      <w:numFmt w:val="lowerRoman"/>
      <w:lvlText w:val="%6."/>
      <w:lvlJc w:val="right"/>
      <w:pPr>
        <w:tabs>
          <w:tab w:val="num" w:pos="3456"/>
        </w:tabs>
        <w:ind w:left="3456" w:hanging="180"/>
      </w:pPr>
      <w:rPr>
        <w:rFonts w:cs="Times New Roman"/>
      </w:rPr>
    </w:lvl>
    <w:lvl w:ilvl="6" w:tplc="0419000F" w:tentative="1">
      <w:start w:val="1"/>
      <w:numFmt w:val="decimal"/>
      <w:lvlText w:val="%7."/>
      <w:lvlJc w:val="left"/>
      <w:pPr>
        <w:tabs>
          <w:tab w:val="num" w:pos="4176"/>
        </w:tabs>
        <w:ind w:left="4176" w:hanging="360"/>
      </w:pPr>
      <w:rPr>
        <w:rFonts w:cs="Times New Roman"/>
      </w:rPr>
    </w:lvl>
    <w:lvl w:ilvl="7" w:tplc="04190019" w:tentative="1">
      <w:start w:val="1"/>
      <w:numFmt w:val="lowerLetter"/>
      <w:lvlText w:val="%8."/>
      <w:lvlJc w:val="left"/>
      <w:pPr>
        <w:tabs>
          <w:tab w:val="num" w:pos="4896"/>
        </w:tabs>
        <w:ind w:left="4896" w:hanging="360"/>
      </w:pPr>
      <w:rPr>
        <w:rFonts w:cs="Times New Roman"/>
      </w:rPr>
    </w:lvl>
    <w:lvl w:ilvl="8" w:tplc="0419001B" w:tentative="1">
      <w:start w:val="1"/>
      <w:numFmt w:val="lowerRoman"/>
      <w:lvlText w:val="%9."/>
      <w:lvlJc w:val="right"/>
      <w:pPr>
        <w:tabs>
          <w:tab w:val="num" w:pos="5616"/>
        </w:tabs>
        <w:ind w:left="5616" w:hanging="180"/>
      </w:pPr>
      <w:rPr>
        <w:rFonts w:cs="Times New Roman"/>
      </w:rPr>
    </w:lvl>
  </w:abstractNum>
  <w:abstractNum w:abstractNumId="23">
    <w:nsid w:val="34A72DD6"/>
    <w:multiLevelType w:val="hybridMultilevel"/>
    <w:tmpl w:val="61C64B4E"/>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9879E3"/>
    <w:multiLevelType w:val="hybridMultilevel"/>
    <w:tmpl w:val="7A42A67A"/>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3F77DA"/>
    <w:multiLevelType w:val="hybridMultilevel"/>
    <w:tmpl w:val="87A0A3A6"/>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397C39"/>
    <w:multiLevelType w:val="multilevel"/>
    <w:tmpl w:val="FFFFFFFF"/>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4B8788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9AB5EFE"/>
    <w:multiLevelType w:val="hybridMultilevel"/>
    <w:tmpl w:val="DDE66DB6"/>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0F2FC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FA778C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7953D7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8CB244E"/>
    <w:multiLevelType w:val="hybridMultilevel"/>
    <w:tmpl w:val="DB6674B6"/>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9E1814"/>
    <w:multiLevelType w:val="hybridMultilevel"/>
    <w:tmpl w:val="EF3A1144"/>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A408BD"/>
    <w:multiLevelType w:val="hybridMultilevel"/>
    <w:tmpl w:val="C07027E6"/>
    <w:lvl w:ilvl="0" w:tplc="31C827B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nsid w:val="661B6F9C"/>
    <w:multiLevelType w:val="hybridMultilevel"/>
    <w:tmpl w:val="222097D6"/>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014CBD"/>
    <w:multiLevelType w:val="hybridMultilevel"/>
    <w:tmpl w:val="56D82E00"/>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DE3F76"/>
    <w:multiLevelType w:val="hybridMultilevel"/>
    <w:tmpl w:val="B9B025E0"/>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3849CE"/>
    <w:multiLevelType w:val="hybridMultilevel"/>
    <w:tmpl w:val="5F689606"/>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6D52FF"/>
    <w:multiLevelType w:val="hybridMultilevel"/>
    <w:tmpl w:val="A88C7950"/>
    <w:lvl w:ilvl="0" w:tplc="31C827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11678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29"/>
  </w:num>
  <w:num w:numId="3">
    <w:abstractNumId w:val="26"/>
  </w:num>
  <w:num w:numId="4">
    <w:abstractNumId w:val="31"/>
  </w:num>
  <w:num w:numId="5">
    <w:abstractNumId w:val="19"/>
  </w:num>
  <w:num w:numId="6">
    <w:abstractNumId w:val="11"/>
  </w:num>
  <w:num w:numId="7">
    <w:abstractNumId w:val="15"/>
  </w:num>
  <w:num w:numId="8">
    <w:abstractNumId w:val="40"/>
  </w:num>
  <w:num w:numId="9">
    <w:abstractNumId w:val="27"/>
  </w:num>
  <w:num w:numId="10">
    <w:abstractNumId w:val="30"/>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0"/>
  </w:num>
  <w:num w:numId="24">
    <w:abstractNumId w:val="36"/>
  </w:num>
  <w:num w:numId="25">
    <w:abstractNumId w:val="16"/>
  </w:num>
  <w:num w:numId="26">
    <w:abstractNumId w:val="33"/>
  </w:num>
  <w:num w:numId="27">
    <w:abstractNumId w:val="14"/>
  </w:num>
  <w:num w:numId="28">
    <w:abstractNumId w:val="35"/>
  </w:num>
  <w:num w:numId="29">
    <w:abstractNumId w:val="12"/>
  </w:num>
  <w:num w:numId="30">
    <w:abstractNumId w:val="24"/>
  </w:num>
  <w:num w:numId="31">
    <w:abstractNumId w:val="32"/>
  </w:num>
  <w:num w:numId="32">
    <w:abstractNumId w:val="38"/>
  </w:num>
  <w:num w:numId="33">
    <w:abstractNumId w:val="37"/>
  </w:num>
  <w:num w:numId="34">
    <w:abstractNumId w:val="21"/>
  </w:num>
  <w:num w:numId="35">
    <w:abstractNumId w:val="23"/>
  </w:num>
  <w:num w:numId="36">
    <w:abstractNumId w:val="20"/>
  </w:num>
  <w:num w:numId="37">
    <w:abstractNumId w:val="18"/>
  </w:num>
  <w:num w:numId="38">
    <w:abstractNumId w:val="39"/>
  </w:num>
  <w:num w:numId="39">
    <w:abstractNumId w:val="28"/>
  </w:num>
  <w:num w:numId="40">
    <w:abstractNumId w:val="17"/>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DA3"/>
    <w:rsid w:val="00012E82"/>
    <w:rsid w:val="00017878"/>
    <w:rsid w:val="0003501D"/>
    <w:rsid w:val="0004099A"/>
    <w:rsid w:val="00046314"/>
    <w:rsid w:val="00080331"/>
    <w:rsid w:val="0008386D"/>
    <w:rsid w:val="00084E5D"/>
    <w:rsid w:val="0009735C"/>
    <w:rsid w:val="000A1D31"/>
    <w:rsid w:val="000A5C22"/>
    <w:rsid w:val="000A7B3A"/>
    <w:rsid w:val="000C298C"/>
    <w:rsid w:val="000C7111"/>
    <w:rsid w:val="0011047D"/>
    <w:rsid w:val="001107F4"/>
    <w:rsid w:val="00120E8F"/>
    <w:rsid w:val="00123C0D"/>
    <w:rsid w:val="0013271B"/>
    <w:rsid w:val="00145626"/>
    <w:rsid w:val="001653CE"/>
    <w:rsid w:val="00183FC7"/>
    <w:rsid w:val="00197431"/>
    <w:rsid w:val="001A08CA"/>
    <w:rsid w:val="001A4995"/>
    <w:rsid w:val="001A5C76"/>
    <w:rsid w:val="001A6B14"/>
    <w:rsid w:val="001B6566"/>
    <w:rsid w:val="001D3963"/>
    <w:rsid w:val="001E3685"/>
    <w:rsid w:val="00245C8F"/>
    <w:rsid w:val="0026648F"/>
    <w:rsid w:val="00290510"/>
    <w:rsid w:val="002A31FD"/>
    <w:rsid w:val="002A48DE"/>
    <w:rsid w:val="002A4DEA"/>
    <w:rsid w:val="002B395F"/>
    <w:rsid w:val="002B56B9"/>
    <w:rsid w:val="002E5351"/>
    <w:rsid w:val="002E5CB2"/>
    <w:rsid w:val="002F37B6"/>
    <w:rsid w:val="003031C3"/>
    <w:rsid w:val="0030385D"/>
    <w:rsid w:val="00303B3C"/>
    <w:rsid w:val="0034112A"/>
    <w:rsid w:val="00361050"/>
    <w:rsid w:val="00363992"/>
    <w:rsid w:val="00371871"/>
    <w:rsid w:val="0038368E"/>
    <w:rsid w:val="003A7112"/>
    <w:rsid w:val="003B5011"/>
    <w:rsid w:val="003C57E2"/>
    <w:rsid w:val="003D4AFB"/>
    <w:rsid w:val="00422B39"/>
    <w:rsid w:val="00445177"/>
    <w:rsid w:val="00446983"/>
    <w:rsid w:val="00455CFE"/>
    <w:rsid w:val="00464CE3"/>
    <w:rsid w:val="004674AE"/>
    <w:rsid w:val="0047558B"/>
    <w:rsid w:val="00476E01"/>
    <w:rsid w:val="004901A9"/>
    <w:rsid w:val="004D31CB"/>
    <w:rsid w:val="004D6754"/>
    <w:rsid w:val="004F3485"/>
    <w:rsid w:val="0051473E"/>
    <w:rsid w:val="00525F29"/>
    <w:rsid w:val="0054746A"/>
    <w:rsid w:val="00577B50"/>
    <w:rsid w:val="00590547"/>
    <w:rsid w:val="005A4D36"/>
    <w:rsid w:val="005B1BAE"/>
    <w:rsid w:val="005B6230"/>
    <w:rsid w:val="005D06EF"/>
    <w:rsid w:val="00617979"/>
    <w:rsid w:val="00627A4D"/>
    <w:rsid w:val="00641FA7"/>
    <w:rsid w:val="00656347"/>
    <w:rsid w:val="0066263D"/>
    <w:rsid w:val="006677B1"/>
    <w:rsid w:val="00686B6D"/>
    <w:rsid w:val="00692FF9"/>
    <w:rsid w:val="006A5FF5"/>
    <w:rsid w:val="006B2924"/>
    <w:rsid w:val="006C0955"/>
    <w:rsid w:val="006E0E9E"/>
    <w:rsid w:val="006F4EF6"/>
    <w:rsid w:val="0070300B"/>
    <w:rsid w:val="00713597"/>
    <w:rsid w:val="007305EA"/>
    <w:rsid w:val="007602C3"/>
    <w:rsid w:val="00767434"/>
    <w:rsid w:val="007A7E8B"/>
    <w:rsid w:val="007C1428"/>
    <w:rsid w:val="007C30F7"/>
    <w:rsid w:val="007D6802"/>
    <w:rsid w:val="007F37D1"/>
    <w:rsid w:val="007F3FEE"/>
    <w:rsid w:val="0081231B"/>
    <w:rsid w:val="008540EC"/>
    <w:rsid w:val="00863C7B"/>
    <w:rsid w:val="008661F5"/>
    <w:rsid w:val="00884816"/>
    <w:rsid w:val="00886F06"/>
    <w:rsid w:val="00891A1E"/>
    <w:rsid w:val="008B7E33"/>
    <w:rsid w:val="008D5104"/>
    <w:rsid w:val="00913852"/>
    <w:rsid w:val="0095321B"/>
    <w:rsid w:val="0096019F"/>
    <w:rsid w:val="0097429D"/>
    <w:rsid w:val="00993303"/>
    <w:rsid w:val="009C6AAE"/>
    <w:rsid w:val="009D522B"/>
    <w:rsid w:val="009E2E26"/>
    <w:rsid w:val="009F1EE7"/>
    <w:rsid w:val="00A146E8"/>
    <w:rsid w:val="00A42D2C"/>
    <w:rsid w:val="00A65BDB"/>
    <w:rsid w:val="00A712B6"/>
    <w:rsid w:val="00A74AC1"/>
    <w:rsid w:val="00A75B01"/>
    <w:rsid w:val="00A9620B"/>
    <w:rsid w:val="00AA08DC"/>
    <w:rsid w:val="00AA1EC6"/>
    <w:rsid w:val="00AA600B"/>
    <w:rsid w:val="00AC08C9"/>
    <w:rsid w:val="00AD7FB2"/>
    <w:rsid w:val="00B04E8B"/>
    <w:rsid w:val="00B468D1"/>
    <w:rsid w:val="00B52960"/>
    <w:rsid w:val="00B57DC1"/>
    <w:rsid w:val="00B9358C"/>
    <w:rsid w:val="00BA1CB1"/>
    <w:rsid w:val="00BC2DA3"/>
    <w:rsid w:val="00BC35A7"/>
    <w:rsid w:val="00BD179D"/>
    <w:rsid w:val="00BE0933"/>
    <w:rsid w:val="00BF3CDA"/>
    <w:rsid w:val="00C65BC2"/>
    <w:rsid w:val="00C72241"/>
    <w:rsid w:val="00C816BA"/>
    <w:rsid w:val="00CC3F6C"/>
    <w:rsid w:val="00CF0E15"/>
    <w:rsid w:val="00CF1D4A"/>
    <w:rsid w:val="00D13DD5"/>
    <w:rsid w:val="00D14396"/>
    <w:rsid w:val="00D30001"/>
    <w:rsid w:val="00D36E79"/>
    <w:rsid w:val="00D65FEC"/>
    <w:rsid w:val="00D83470"/>
    <w:rsid w:val="00DA0134"/>
    <w:rsid w:val="00DA1EF9"/>
    <w:rsid w:val="00DC5080"/>
    <w:rsid w:val="00E042BD"/>
    <w:rsid w:val="00E1761A"/>
    <w:rsid w:val="00E361C2"/>
    <w:rsid w:val="00EB42EE"/>
    <w:rsid w:val="00EB6100"/>
    <w:rsid w:val="00EE0F7A"/>
    <w:rsid w:val="00EE26B8"/>
    <w:rsid w:val="00EE7D09"/>
    <w:rsid w:val="00EF74BD"/>
    <w:rsid w:val="00F03465"/>
    <w:rsid w:val="00F17CDA"/>
    <w:rsid w:val="00F52E9A"/>
    <w:rsid w:val="00F77CB5"/>
    <w:rsid w:val="00F97AD9"/>
    <w:rsid w:val="00FD0ADC"/>
    <w:rsid w:val="00FE64AA"/>
    <w:rsid w:val="00FE7530"/>
    <w:rsid w:val="00FF4073"/>
    <w:rsid w:val="00FF5D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A3"/>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2DA3"/>
    <w:rPr>
      <w:rFonts w:cs="Times New Roman"/>
      <w:color w:val="000080"/>
      <w:u w:val="single"/>
    </w:rPr>
  </w:style>
  <w:style w:type="character" w:customStyle="1" w:styleId="3">
    <w:name w:val="Основной текст (3)_"/>
    <w:basedOn w:val="DefaultParagraphFont"/>
    <w:link w:val="30"/>
    <w:uiPriority w:val="99"/>
    <w:locked/>
    <w:rsid w:val="00BC2DA3"/>
    <w:rPr>
      <w:rFonts w:ascii="Times New Roman" w:hAnsi="Times New Roman" w:cs="Times New Roman"/>
      <w:b/>
      <w:bCs/>
      <w:u w:val="none"/>
    </w:rPr>
  </w:style>
  <w:style w:type="character" w:customStyle="1" w:styleId="a">
    <w:name w:val="Колонтитул_"/>
    <w:basedOn w:val="DefaultParagraphFont"/>
    <w:link w:val="1"/>
    <w:uiPriority w:val="99"/>
    <w:locked/>
    <w:rsid w:val="00BC2DA3"/>
    <w:rPr>
      <w:rFonts w:ascii="Times New Roman" w:hAnsi="Times New Roman" w:cs="Times New Roman"/>
      <w:sz w:val="22"/>
      <w:szCs w:val="22"/>
      <w:u w:val="none"/>
    </w:rPr>
  </w:style>
  <w:style w:type="character" w:customStyle="1" w:styleId="a0">
    <w:name w:val="Колонтитул"/>
    <w:basedOn w:val="a"/>
    <w:uiPriority w:val="99"/>
    <w:rsid w:val="00BC2DA3"/>
    <w:rPr>
      <w:color w:val="000000"/>
      <w:spacing w:val="0"/>
      <w:w w:val="100"/>
      <w:position w:val="0"/>
      <w:lang w:val="ru-RU" w:eastAsia="ru-RU"/>
    </w:rPr>
  </w:style>
  <w:style w:type="character" w:customStyle="1" w:styleId="4">
    <w:name w:val="Основной текст (4)_"/>
    <w:basedOn w:val="DefaultParagraphFont"/>
    <w:link w:val="40"/>
    <w:uiPriority w:val="99"/>
    <w:locked/>
    <w:rsid w:val="00BC2DA3"/>
    <w:rPr>
      <w:rFonts w:ascii="Times New Roman" w:hAnsi="Times New Roman" w:cs="Times New Roman"/>
      <w:b/>
      <w:bCs/>
      <w:i/>
      <w:iCs/>
      <w:u w:val="none"/>
    </w:rPr>
  </w:style>
  <w:style w:type="character" w:customStyle="1" w:styleId="TOC1Char">
    <w:name w:val="TOC 1 Char"/>
    <w:basedOn w:val="DefaultParagraphFont"/>
    <w:link w:val="TOC1"/>
    <w:uiPriority w:val="99"/>
    <w:locked/>
    <w:rsid w:val="00BC2DA3"/>
    <w:rPr>
      <w:rFonts w:ascii="Arial" w:hAnsi="Arial" w:cs="Arial"/>
      <w:b/>
      <w:bCs/>
      <w:caps/>
      <w:color w:val="000000"/>
      <w:sz w:val="24"/>
      <w:szCs w:val="24"/>
      <w:lang w:val="ru-RU" w:eastAsia="ru-RU" w:bidi="ar-SA"/>
    </w:rPr>
  </w:style>
  <w:style w:type="character" w:customStyle="1" w:styleId="a1">
    <w:name w:val="Оглавление + Не полужирный"/>
    <w:aliases w:val="Не курсив"/>
    <w:basedOn w:val="TOC1Char"/>
    <w:uiPriority w:val="99"/>
    <w:rsid w:val="00BC2DA3"/>
    <w:rPr>
      <w:spacing w:val="0"/>
      <w:w w:val="100"/>
      <w:position w:val="0"/>
    </w:rPr>
  </w:style>
  <w:style w:type="character" w:customStyle="1" w:styleId="Exact">
    <w:name w:val="Подпись к таблице Exact"/>
    <w:basedOn w:val="DefaultParagraphFont"/>
    <w:uiPriority w:val="99"/>
    <w:rsid w:val="00BC2DA3"/>
    <w:rPr>
      <w:rFonts w:ascii="Times New Roman" w:hAnsi="Times New Roman" w:cs="Times New Roman"/>
      <w:i/>
      <w:iCs/>
      <w:u w:val="none"/>
    </w:rPr>
  </w:style>
  <w:style w:type="character" w:customStyle="1" w:styleId="2">
    <w:name w:val="Основной текст (2)_"/>
    <w:basedOn w:val="DefaultParagraphFont"/>
    <w:link w:val="21"/>
    <w:uiPriority w:val="99"/>
    <w:locked/>
    <w:rsid w:val="00BC2DA3"/>
    <w:rPr>
      <w:rFonts w:ascii="Times New Roman" w:hAnsi="Times New Roman" w:cs="Times New Roman"/>
      <w:u w:val="none"/>
    </w:rPr>
  </w:style>
  <w:style w:type="character" w:customStyle="1" w:styleId="20">
    <w:name w:val="Основной текст (2) + Курсив"/>
    <w:basedOn w:val="2"/>
    <w:uiPriority w:val="99"/>
    <w:rsid w:val="00BC2DA3"/>
    <w:rPr>
      <w:i/>
      <w:iCs/>
      <w:color w:val="000000"/>
      <w:spacing w:val="0"/>
      <w:w w:val="100"/>
      <w:position w:val="0"/>
      <w:sz w:val="24"/>
      <w:szCs w:val="24"/>
      <w:lang w:val="ru-RU" w:eastAsia="ru-RU"/>
    </w:rPr>
  </w:style>
  <w:style w:type="character" w:customStyle="1" w:styleId="22">
    <w:name w:val="Основной текст (2) + Полужирный"/>
    <w:aliases w:val="Курсив"/>
    <w:basedOn w:val="2"/>
    <w:uiPriority w:val="99"/>
    <w:rsid w:val="00BC2DA3"/>
    <w:rPr>
      <w:b/>
      <w:bCs/>
      <w:i/>
      <w:iCs/>
      <w:color w:val="000000"/>
      <w:spacing w:val="0"/>
      <w:w w:val="100"/>
      <w:position w:val="0"/>
      <w:sz w:val="24"/>
      <w:szCs w:val="24"/>
      <w:lang w:val="ru-RU" w:eastAsia="ru-RU"/>
    </w:rPr>
  </w:style>
  <w:style w:type="character" w:customStyle="1" w:styleId="210">
    <w:name w:val="Основной текст (2) + 10"/>
    <w:aliases w:val="5 pt"/>
    <w:basedOn w:val="2"/>
    <w:uiPriority w:val="99"/>
    <w:rsid w:val="00BC2DA3"/>
    <w:rPr>
      <w:color w:val="000000"/>
      <w:spacing w:val="0"/>
      <w:w w:val="100"/>
      <w:position w:val="0"/>
      <w:sz w:val="21"/>
      <w:szCs w:val="21"/>
      <w:lang w:val="ru-RU" w:eastAsia="ru-RU"/>
    </w:rPr>
  </w:style>
  <w:style w:type="character" w:customStyle="1" w:styleId="10">
    <w:name w:val="Заголовок №1_"/>
    <w:basedOn w:val="DefaultParagraphFont"/>
    <w:link w:val="11"/>
    <w:uiPriority w:val="99"/>
    <w:locked/>
    <w:rsid w:val="00BC2DA3"/>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BC2DA3"/>
    <w:rPr>
      <w:rFonts w:ascii="Times New Roman" w:hAnsi="Times New Roman" w:cs="Times New Roman"/>
      <w:i/>
      <w:iCs/>
      <w:u w:val="none"/>
    </w:rPr>
  </w:style>
  <w:style w:type="character" w:customStyle="1" w:styleId="50">
    <w:name w:val="Основной текст (5) + Не курсив"/>
    <w:basedOn w:val="5"/>
    <w:uiPriority w:val="99"/>
    <w:rsid w:val="00BC2DA3"/>
    <w:rPr>
      <w:color w:val="000000"/>
      <w:spacing w:val="0"/>
      <w:w w:val="100"/>
      <w:position w:val="0"/>
      <w:sz w:val="24"/>
      <w:szCs w:val="24"/>
      <w:lang w:val="ru-RU" w:eastAsia="ru-RU"/>
    </w:rPr>
  </w:style>
  <w:style w:type="character" w:customStyle="1" w:styleId="a2">
    <w:name w:val="Подпись к таблице_"/>
    <w:basedOn w:val="DefaultParagraphFont"/>
    <w:link w:val="a3"/>
    <w:uiPriority w:val="99"/>
    <w:locked/>
    <w:rsid w:val="00BC2DA3"/>
    <w:rPr>
      <w:rFonts w:ascii="Times New Roman" w:hAnsi="Times New Roman" w:cs="Times New Roman"/>
      <w:i/>
      <w:iCs/>
      <w:u w:val="none"/>
    </w:rPr>
  </w:style>
  <w:style w:type="character" w:customStyle="1" w:styleId="a4">
    <w:name w:val="Подпись к таблице + Не курсив"/>
    <w:basedOn w:val="a2"/>
    <w:uiPriority w:val="99"/>
    <w:rsid w:val="00BC2DA3"/>
    <w:rPr>
      <w:color w:val="000000"/>
      <w:spacing w:val="0"/>
      <w:w w:val="100"/>
      <w:position w:val="0"/>
      <w:sz w:val="24"/>
      <w:szCs w:val="24"/>
      <w:lang w:val="ru-RU" w:eastAsia="ru-RU"/>
    </w:rPr>
  </w:style>
  <w:style w:type="character" w:customStyle="1" w:styleId="211">
    <w:name w:val="Основной текст (2) + Курсив1"/>
    <w:basedOn w:val="2"/>
    <w:uiPriority w:val="99"/>
    <w:rsid w:val="00BC2DA3"/>
    <w:rPr>
      <w:i/>
      <w:iCs/>
      <w:color w:val="000000"/>
      <w:spacing w:val="0"/>
      <w:w w:val="100"/>
      <w:position w:val="0"/>
      <w:sz w:val="24"/>
      <w:szCs w:val="24"/>
      <w:lang w:val="ru-RU" w:eastAsia="ru-RU"/>
    </w:rPr>
  </w:style>
  <w:style w:type="character" w:customStyle="1" w:styleId="23">
    <w:name w:val="Основной текст (2)"/>
    <w:basedOn w:val="2"/>
    <w:uiPriority w:val="99"/>
    <w:rsid w:val="00BC2DA3"/>
    <w:rPr>
      <w:color w:val="000000"/>
      <w:spacing w:val="0"/>
      <w:w w:val="100"/>
      <w:position w:val="0"/>
      <w:sz w:val="24"/>
      <w:szCs w:val="24"/>
      <w:u w:val="single"/>
      <w:lang w:val="ru-RU" w:eastAsia="ru-RU"/>
    </w:rPr>
  </w:style>
  <w:style w:type="character" w:customStyle="1" w:styleId="24">
    <w:name w:val="Подпись к таблице (2)_"/>
    <w:basedOn w:val="DefaultParagraphFont"/>
    <w:link w:val="212"/>
    <w:uiPriority w:val="99"/>
    <w:locked/>
    <w:rsid w:val="00BC2DA3"/>
    <w:rPr>
      <w:rFonts w:ascii="Times New Roman" w:hAnsi="Times New Roman" w:cs="Times New Roman"/>
      <w:u w:val="none"/>
    </w:rPr>
  </w:style>
  <w:style w:type="character" w:customStyle="1" w:styleId="25">
    <w:name w:val="Подпись к таблице (2)"/>
    <w:basedOn w:val="24"/>
    <w:uiPriority w:val="99"/>
    <w:rsid w:val="00BC2DA3"/>
    <w:rPr>
      <w:color w:val="000000"/>
      <w:spacing w:val="0"/>
      <w:w w:val="100"/>
      <w:position w:val="0"/>
      <w:sz w:val="24"/>
      <w:szCs w:val="24"/>
      <w:u w:val="single"/>
      <w:lang w:val="ru-RU" w:eastAsia="ru-RU"/>
    </w:rPr>
  </w:style>
  <w:style w:type="character" w:customStyle="1" w:styleId="52">
    <w:name w:val="Основной текст (5)"/>
    <w:basedOn w:val="5"/>
    <w:uiPriority w:val="99"/>
    <w:rsid w:val="00BC2DA3"/>
    <w:rPr>
      <w:color w:val="000000"/>
      <w:spacing w:val="0"/>
      <w:w w:val="100"/>
      <w:position w:val="0"/>
      <w:sz w:val="24"/>
      <w:szCs w:val="24"/>
      <w:u w:val="single"/>
      <w:lang w:val="ru-RU" w:eastAsia="ru-RU"/>
    </w:rPr>
  </w:style>
  <w:style w:type="character" w:customStyle="1" w:styleId="213">
    <w:name w:val="Основной текст (2) + Полужирный1"/>
    <w:basedOn w:val="2"/>
    <w:uiPriority w:val="99"/>
    <w:rsid w:val="00BC2DA3"/>
    <w:rPr>
      <w:b/>
      <w:bCs/>
      <w:color w:val="000000"/>
      <w:spacing w:val="0"/>
      <w:w w:val="100"/>
      <w:position w:val="0"/>
      <w:sz w:val="24"/>
      <w:szCs w:val="24"/>
      <w:lang w:val="ru-RU" w:eastAsia="ru-RU"/>
    </w:rPr>
  </w:style>
  <w:style w:type="paragraph" w:customStyle="1" w:styleId="30">
    <w:name w:val="Основной текст (3)"/>
    <w:basedOn w:val="Normal"/>
    <w:link w:val="3"/>
    <w:uiPriority w:val="99"/>
    <w:rsid w:val="00BC2DA3"/>
    <w:pPr>
      <w:shd w:val="clear" w:color="auto" w:fill="FFFFFF"/>
      <w:spacing w:after="780" w:line="278" w:lineRule="exact"/>
      <w:jc w:val="center"/>
    </w:pPr>
    <w:rPr>
      <w:rFonts w:ascii="Times New Roman" w:eastAsia="Times New Roman" w:hAnsi="Times New Roman" w:cs="Times New Roman"/>
      <w:b/>
      <w:bCs/>
    </w:rPr>
  </w:style>
  <w:style w:type="paragraph" w:customStyle="1" w:styleId="1">
    <w:name w:val="Колонтитул1"/>
    <w:basedOn w:val="Normal"/>
    <w:link w:val="a"/>
    <w:uiPriority w:val="99"/>
    <w:rsid w:val="00BC2DA3"/>
    <w:pPr>
      <w:shd w:val="clear" w:color="auto" w:fill="FFFFFF"/>
      <w:spacing w:line="240" w:lineRule="atLeast"/>
    </w:pPr>
    <w:rPr>
      <w:rFonts w:ascii="Times New Roman" w:eastAsia="Times New Roman" w:hAnsi="Times New Roman" w:cs="Times New Roman"/>
      <w:sz w:val="22"/>
      <w:szCs w:val="22"/>
    </w:rPr>
  </w:style>
  <w:style w:type="paragraph" w:customStyle="1" w:styleId="40">
    <w:name w:val="Основной текст (4)"/>
    <w:basedOn w:val="Normal"/>
    <w:link w:val="4"/>
    <w:uiPriority w:val="99"/>
    <w:rsid w:val="00BC2DA3"/>
    <w:pPr>
      <w:shd w:val="clear" w:color="auto" w:fill="FFFFFF"/>
      <w:spacing w:before="780" w:after="600" w:line="240" w:lineRule="atLeast"/>
      <w:jc w:val="center"/>
    </w:pPr>
    <w:rPr>
      <w:rFonts w:ascii="Times New Roman" w:eastAsia="Times New Roman" w:hAnsi="Times New Roman" w:cs="Times New Roman"/>
      <w:b/>
      <w:bCs/>
      <w:i/>
      <w:iCs/>
    </w:rPr>
  </w:style>
  <w:style w:type="paragraph" w:styleId="TOC1">
    <w:name w:val="toc 1"/>
    <w:basedOn w:val="Normal"/>
    <w:link w:val="TOC1Char"/>
    <w:autoRedefine/>
    <w:uiPriority w:val="99"/>
    <w:rsid w:val="00BC2DA3"/>
    <w:pPr>
      <w:spacing w:before="360"/>
    </w:pPr>
    <w:rPr>
      <w:rFonts w:ascii="Arial" w:hAnsi="Arial" w:cs="Arial"/>
      <w:b/>
      <w:bCs/>
      <w:caps/>
    </w:rPr>
  </w:style>
  <w:style w:type="paragraph" w:customStyle="1" w:styleId="a3">
    <w:name w:val="Подпись к таблице"/>
    <w:basedOn w:val="Normal"/>
    <w:link w:val="a2"/>
    <w:uiPriority w:val="99"/>
    <w:rsid w:val="00BC2DA3"/>
    <w:pPr>
      <w:shd w:val="clear" w:color="auto" w:fill="FFFFFF"/>
      <w:spacing w:line="283" w:lineRule="exact"/>
    </w:pPr>
    <w:rPr>
      <w:rFonts w:ascii="Times New Roman" w:eastAsia="Times New Roman" w:hAnsi="Times New Roman" w:cs="Times New Roman"/>
      <w:i/>
      <w:iCs/>
    </w:rPr>
  </w:style>
  <w:style w:type="paragraph" w:customStyle="1" w:styleId="21">
    <w:name w:val="Основной текст (2)1"/>
    <w:basedOn w:val="Normal"/>
    <w:link w:val="2"/>
    <w:uiPriority w:val="99"/>
    <w:rsid w:val="00BC2DA3"/>
    <w:pPr>
      <w:shd w:val="clear" w:color="auto" w:fill="FFFFFF"/>
      <w:spacing w:before="60" w:line="274" w:lineRule="exact"/>
      <w:ind w:hanging="400"/>
      <w:jc w:val="both"/>
    </w:pPr>
    <w:rPr>
      <w:rFonts w:ascii="Times New Roman" w:eastAsia="Times New Roman" w:hAnsi="Times New Roman" w:cs="Times New Roman"/>
    </w:rPr>
  </w:style>
  <w:style w:type="paragraph" w:customStyle="1" w:styleId="11">
    <w:name w:val="Заголовок №1"/>
    <w:basedOn w:val="Normal"/>
    <w:link w:val="10"/>
    <w:uiPriority w:val="99"/>
    <w:rsid w:val="00BC2DA3"/>
    <w:pPr>
      <w:shd w:val="clear" w:color="auto" w:fill="FFFFFF"/>
      <w:spacing w:after="60" w:line="240" w:lineRule="atLeast"/>
      <w:ind w:hanging="360"/>
      <w:jc w:val="center"/>
      <w:outlineLvl w:val="0"/>
    </w:pPr>
    <w:rPr>
      <w:rFonts w:ascii="Times New Roman" w:eastAsia="Times New Roman" w:hAnsi="Times New Roman" w:cs="Times New Roman"/>
      <w:b/>
      <w:bCs/>
    </w:rPr>
  </w:style>
  <w:style w:type="paragraph" w:customStyle="1" w:styleId="51">
    <w:name w:val="Основной текст (5)1"/>
    <w:basedOn w:val="Normal"/>
    <w:link w:val="5"/>
    <w:uiPriority w:val="99"/>
    <w:rsid w:val="00BC2DA3"/>
    <w:pPr>
      <w:shd w:val="clear" w:color="auto" w:fill="FFFFFF"/>
      <w:spacing w:before="240" w:line="278" w:lineRule="exact"/>
      <w:ind w:hanging="400"/>
      <w:jc w:val="both"/>
    </w:pPr>
    <w:rPr>
      <w:rFonts w:ascii="Times New Roman" w:eastAsia="Times New Roman" w:hAnsi="Times New Roman" w:cs="Times New Roman"/>
      <w:i/>
      <w:iCs/>
    </w:rPr>
  </w:style>
  <w:style w:type="paragraph" w:customStyle="1" w:styleId="212">
    <w:name w:val="Подпись к таблице (2)1"/>
    <w:basedOn w:val="Normal"/>
    <w:link w:val="24"/>
    <w:uiPriority w:val="99"/>
    <w:rsid w:val="00BC2DA3"/>
    <w:pPr>
      <w:shd w:val="clear" w:color="auto" w:fill="FFFFFF"/>
      <w:spacing w:line="240" w:lineRule="atLeast"/>
    </w:pPr>
    <w:rPr>
      <w:rFonts w:ascii="Times New Roman" w:eastAsia="Times New Roman" w:hAnsi="Times New Roman" w:cs="Times New Roman"/>
    </w:rPr>
  </w:style>
  <w:style w:type="table" w:styleId="TableGrid">
    <w:name w:val="Table Grid"/>
    <w:basedOn w:val="TableNormal"/>
    <w:uiPriority w:val="99"/>
    <w:locked/>
    <w:rsid w:val="0096019F"/>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semiHidden/>
    <w:locked/>
    <w:rsid w:val="0034112A"/>
    <w:pPr>
      <w:spacing w:before="240"/>
    </w:pPr>
    <w:rPr>
      <w:rFonts w:ascii="Times New Roman" w:hAnsi="Times New Roman" w:cs="Times New Roman"/>
      <w:b/>
      <w:bCs/>
      <w:sz w:val="20"/>
      <w:szCs w:val="20"/>
    </w:rPr>
  </w:style>
  <w:style w:type="paragraph" w:styleId="TOC3">
    <w:name w:val="toc 3"/>
    <w:basedOn w:val="Normal"/>
    <w:next w:val="Normal"/>
    <w:autoRedefine/>
    <w:uiPriority w:val="99"/>
    <w:semiHidden/>
    <w:locked/>
    <w:rsid w:val="0034112A"/>
    <w:pPr>
      <w:ind w:left="240"/>
    </w:pPr>
    <w:rPr>
      <w:rFonts w:ascii="Times New Roman" w:hAnsi="Times New Roman" w:cs="Times New Roman"/>
      <w:sz w:val="20"/>
      <w:szCs w:val="20"/>
    </w:rPr>
  </w:style>
  <w:style w:type="paragraph" w:styleId="TOC4">
    <w:name w:val="toc 4"/>
    <w:basedOn w:val="Normal"/>
    <w:next w:val="Normal"/>
    <w:autoRedefine/>
    <w:uiPriority w:val="99"/>
    <w:semiHidden/>
    <w:locked/>
    <w:rsid w:val="0034112A"/>
    <w:pPr>
      <w:ind w:left="480"/>
    </w:pPr>
    <w:rPr>
      <w:rFonts w:ascii="Times New Roman" w:hAnsi="Times New Roman" w:cs="Times New Roman"/>
      <w:sz w:val="20"/>
      <w:szCs w:val="20"/>
    </w:rPr>
  </w:style>
  <w:style w:type="paragraph" w:styleId="TOC5">
    <w:name w:val="toc 5"/>
    <w:basedOn w:val="Normal"/>
    <w:next w:val="Normal"/>
    <w:autoRedefine/>
    <w:uiPriority w:val="99"/>
    <w:semiHidden/>
    <w:locked/>
    <w:rsid w:val="0034112A"/>
    <w:pPr>
      <w:ind w:left="720"/>
    </w:pPr>
    <w:rPr>
      <w:rFonts w:ascii="Times New Roman" w:hAnsi="Times New Roman" w:cs="Times New Roman"/>
      <w:sz w:val="20"/>
      <w:szCs w:val="20"/>
    </w:rPr>
  </w:style>
  <w:style w:type="paragraph" w:styleId="TOC6">
    <w:name w:val="toc 6"/>
    <w:basedOn w:val="Normal"/>
    <w:next w:val="Normal"/>
    <w:autoRedefine/>
    <w:uiPriority w:val="99"/>
    <w:semiHidden/>
    <w:locked/>
    <w:rsid w:val="0034112A"/>
    <w:pPr>
      <w:ind w:left="960"/>
    </w:pPr>
    <w:rPr>
      <w:rFonts w:ascii="Times New Roman" w:hAnsi="Times New Roman" w:cs="Times New Roman"/>
      <w:sz w:val="20"/>
      <w:szCs w:val="20"/>
    </w:rPr>
  </w:style>
  <w:style w:type="paragraph" w:styleId="TOC7">
    <w:name w:val="toc 7"/>
    <w:basedOn w:val="Normal"/>
    <w:next w:val="Normal"/>
    <w:autoRedefine/>
    <w:uiPriority w:val="99"/>
    <w:semiHidden/>
    <w:locked/>
    <w:rsid w:val="0034112A"/>
    <w:pPr>
      <w:ind w:left="1200"/>
    </w:pPr>
    <w:rPr>
      <w:rFonts w:ascii="Times New Roman" w:hAnsi="Times New Roman" w:cs="Times New Roman"/>
      <w:sz w:val="20"/>
      <w:szCs w:val="20"/>
    </w:rPr>
  </w:style>
  <w:style w:type="paragraph" w:styleId="TOC8">
    <w:name w:val="toc 8"/>
    <w:basedOn w:val="Normal"/>
    <w:next w:val="Normal"/>
    <w:autoRedefine/>
    <w:uiPriority w:val="99"/>
    <w:semiHidden/>
    <w:locked/>
    <w:rsid w:val="0034112A"/>
    <w:pPr>
      <w:ind w:left="1440"/>
    </w:pPr>
    <w:rPr>
      <w:rFonts w:ascii="Times New Roman" w:hAnsi="Times New Roman" w:cs="Times New Roman"/>
      <w:sz w:val="20"/>
      <w:szCs w:val="20"/>
    </w:rPr>
  </w:style>
  <w:style w:type="paragraph" w:styleId="TOC9">
    <w:name w:val="toc 9"/>
    <w:basedOn w:val="Normal"/>
    <w:next w:val="Normal"/>
    <w:autoRedefine/>
    <w:uiPriority w:val="99"/>
    <w:semiHidden/>
    <w:locked/>
    <w:rsid w:val="0034112A"/>
    <w:pPr>
      <w:ind w:left="1680"/>
    </w:pPr>
    <w:rPr>
      <w:rFonts w:ascii="Times New Roman" w:hAnsi="Times New Roman" w:cs="Times New Roman"/>
      <w:sz w:val="20"/>
      <w:szCs w:val="20"/>
    </w:rPr>
  </w:style>
  <w:style w:type="paragraph" w:styleId="Footer">
    <w:name w:val="footer"/>
    <w:basedOn w:val="Normal"/>
    <w:link w:val="FooterChar"/>
    <w:uiPriority w:val="99"/>
    <w:rsid w:val="0034112A"/>
    <w:pPr>
      <w:tabs>
        <w:tab w:val="center" w:pos="4677"/>
        <w:tab w:val="right" w:pos="9355"/>
      </w:tabs>
    </w:pPr>
  </w:style>
  <w:style w:type="character" w:customStyle="1" w:styleId="FooterChar">
    <w:name w:val="Footer Char"/>
    <w:basedOn w:val="DefaultParagraphFont"/>
    <w:link w:val="Footer"/>
    <w:uiPriority w:val="99"/>
    <w:semiHidden/>
    <w:locked/>
    <w:rsid w:val="003B5011"/>
    <w:rPr>
      <w:rFonts w:cs="Times New Roman"/>
      <w:color w:val="000000"/>
      <w:sz w:val="24"/>
      <w:szCs w:val="24"/>
    </w:rPr>
  </w:style>
  <w:style w:type="character" w:styleId="PageNumber">
    <w:name w:val="page number"/>
    <w:basedOn w:val="DefaultParagraphFont"/>
    <w:uiPriority w:val="99"/>
    <w:rsid w:val="0034112A"/>
    <w:rPr>
      <w:rFonts w:cs="Times New Roman"/>
    </w:rPr>
  </w:style>
  <w:style w:type="paragraph" w:styleId="Header">
    <w:name w:val="header"/>
    <w:basedOn w:val="Normal"/>
    <w:link w:val="HeaderChar"/>
    <w:uiPriority w:val="99"/>
    <w:rsid w:val="0038368E"/>
    <w:pPr>
      <w:tabs>
        <w:tab w:val="center" w:pos="4677"/>
        <w:tab w:val="right" w:pos="9355"/>
      </w:tabs>
    </w:pPr>
  </w:style>
  <w:style w:type="character" w:customStyle="1" w:styleId="HeaderChar">
    <w:name w:val="Header Char"/>
    <w:basedOn w:val="DefaultParagraphFont"/>
    <w:link w:val="Header"/>
    <w:uiPriority w:val="99"/>
    <w:semiHidden/>
    <w:locked/>
    <w:rsid w:val="003B5011"/>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19</Pages>
  <Words>9106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i.kuzin</dc:creator>
  <cp:keywords/>
  <dc:description/>
  <cp:lastModifiedBy>v.zavalishina</cp:lastModifiedBy>
  <cp:revision>12</cp:revision>
  <dcterms:created xsi:type="dcterms:W3CDTF">2021-03-16T11:53:00Z</dcterms:created>
  <dcterms:modified xsi:type="dcterms:W3CDTF">2021-03-17T08:31:00Z</dcterms:modified>
</cp:coreProperties>
</file>