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89" w:rsidRDefault="008A6134">
      <w:pPr>
        <w:widowControl/>
        <w:numPr>
          <w:ilvl w:val="0"/>
          <w:numId w:val="4"/>
        </w:numPr>
        <w:snapToGrid w:val="0"/>
        <w:jc w:val="right"/>
        <w:textAlignment w:val="auto"/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ar-SA" w:bidi="ar-SA"/>
        </w:rPr>
        <w:t>УТВЕРЖДАЮ</w:t>
      </w:r>
    </w:p>
    <w:p w:rsidR="00AB1A89" w:rsidRDefault="00AB1A89">
      <w:pPr>
        <w:widowControl/>
        <w:numPr>
          <w:ilvl w:val="0"/>
          <w:numId w:val="4"/>
        </w:numPr>
        <w:jc w:val="right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</w:p>
    <w:p w:rsidR="00AB1A89" w:rsidRDefault="008A6134">
      <w:pPr>
        <w:widowControl/>
        <w:numPr>
          <w:ilvl w:val="0"/>
          <w:numId w:val="4"/>
        </w:numPr>
        <w:jc w:val="right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  <w:t>Генеральный   директор</w:t>
      </w:r>
    </w:p>
    <w:p w:rsidR="00AB1A89" w:rsidRDefault="008A6134">
      <w:pPr>
        <w:widowControl/>
        <w:numPr>
          <w:ilvl w:val="0"/>
          <w:numId w:val="4"/>
        </w:numPr>
        <w:jc w:val="right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  <w:t>Общества с ограниченной ответственностью</w:t>
      </w:r>
    </w:p>
    <w:p w:rsidR="00AB1A89" w:rsidRDefault="008A6134">
      <w:pPr>
        <w:widowControl/>
        <w:numPr>
          <w:ilvl w:val="0"/>
          <w:numId w:val="4"/>
        </w:numPr>
        <w:jc w:val="right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  <w:t>«Инвестиционная палата»</w:t>
      </w:r>
    </w:p>
    <w:p w:rsidR="00AB1A89" w:rsidRDefault="00AB1A89">
      <w:pPr>
        <w:widowControl/>
        <w:numPr>
          <w:ilvl w:val="0"/>
          <w:numId w:val="4"/>
        </w:numPr>
        <w:jc w:val="right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</w:p>
    <w:p w:rsidR="00AB1A89" w:rsidRDefault="008A6134">
      <w:pPr>
        <w:widowControl/>
        <w:numPr>
          <w:ilvl w:val="0"/>
          <w:numId w:val="4"/>
        </w:numPr>
        <w:snapToGrid w:val="0"/>
        <w:jc w:val="right"/>
        <w:textAlignment w:val="auto"/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ar-SA" w:bidi="ar-SA"/>
        </w:rPr>
        <w:t xml:space="preserve">______________ 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  <w:t xml:space="preserve"> А.В. Петров </w:t>
      </w:r>
    </w:p>
    <w:p w:rsidR="00AB1A89" w:rsidRDefault="00AB1A89">
      <w:pPr>
        <w:widowControl/>
        <w:numPr>
          <w:ilvl w:val="0"/>
          <w:numId w:val="4"/>
        </w:numPr>
        <w:snapToGrid w:val="0"/>
        <w:jc w:val="right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</w:p>
    <w:p w:rsidR="00AB1A89" w:rsidRDefault="008A6134">
      <w:pPr>
        <w:widowControl/>
        <w:jc w:val="right"/>
        <w:textAlignment w:val="auto"/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ru-RU" w:eastAsia="ar-SA" w:bidi="ar-SA"/>
        </w:rPr>
        <w:t>(Приказ № 68-В от 12.07.2021 г.)</w:t>
      </w:r>
    </w:p>
    <w:p w:rsidR="00AB1A89" w:rsidRDefault="00AB1A89">
      <w:pPr>
        <w:pStyle w:val="Standard"/>
        <w:tabs>
          <w:tab w:val="left" w:pos="720"/>
        </w:tabs>
        <w:spacing w:before="60" w:after="60"/>
        <w:ind w:right="-397"/>
        <w:rPr>
          <w:b/>
          <w:bCs/>
          <w:sz w:val="22"/>
          <w:szCs w:val="22"/>
          <w:lang w:val="ru-RU"/>
        </w:rPr>
      </w:pPr>
    </w:p>
    <w:p w:rsidR="00AB1A89" w:rsidRDefault="00AB1A89">
      <w:pPr>
        <w:widowControl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0"/>
          <w:szCs w:val="20"/>
          <w:lang w:val="ru-RU" w:eastAsia="ar-SA" w:bidi="ar-SA"/>
        </w:rPr>
      </w:pPr>
    </w:p>
    <w:p w:rsidR="00AB1A89" w:rsidRDefault="008A6134">
      <w:pPr>
        <w:widowControl/>
        <w:jc w:val="center"/>
        <w:textAlignment w:val="auto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 xml:space="preserve">ИЗМЕНЕНИЯ В </w:t>
      </w: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РЕГЛАМЕНТ</w:t>
      </w:r>
    </w:p>
    <w:p w:rsidR="00AB1A89" w:rsidRDefault="008A6134">
      <w:pPr>
        <w:keepNext/>
        <w:widowControl/>
        <w:tabs>
          <w:tab w:val="left" w:pos="0"/>
        </w:tabs>
        <w:jc w:val="center"/>
        <w:textAlignment w:val="auto"/>
        <w:outlineLvl w:val="8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обслуживания клиентов на рынке ценных бумаг, срочном и валютном рынках.</w:t>
      </w:r>
    </w:p>
    <w:p w:rsidR="00AB1A89" w:rsidRDefault="008A6134">
      <w:pPr>
        <w:keepNext/>
        <w:widowControl/>
        <w:tabs>
          <w:tab w:val="left" w:pos="0"/>
        </w:tabs>
        <w:jc w:val="center"/>
        <w:textAlignment w:val="auto"/>
        <w:outlineLvl w:val="8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 xml:space="preserve"> ООО «Инвестиционная палата» </w:t>
      </w:r>
    </w:p>
    <w:p w:rsidR="00AB1A89" w:rsidRDefault="008A6134">
      <w:pPr>
        <w:keepNext/>
        <w:widowControl/>
        <w:tabs>
          <w:tab w:val="left" w:pos="0"/>
        </w:tabs>
        <w:jc w:val="center"/>
        <w:textAlignment w:val="auto"/>
        <w:outlineLvl w:val="8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 xml:space="preserve">Настоящие изменения вступают в силу с 19 июля 2021г. </w:t>
      </w:r>
    </w:p>
    <w:p w:rsidR="00AB1A89" w:rsidRDefault="00AB1A89">
      <w:pPr>
        <w:pStyle w:val="9"/>
        <w:keepNext/>
        <w:tabs>
          <w:tab w:val="left" w:pos="0"/>
        </w:tabs>
        <w:suppressAutoHyphens/>
        <w:spacing w:before="0" w:after="0"/>
        <w:ind w:right="-397"/>
        <w:jc w:val="center"/>
        <w:rPr>
          <w:b/>
          <w:bCs/>
          <w:sz w:val="24"/>
          <w:szCs w:val="24"/>
          <w:lang w:val="ru-RU"/>
        </w:rPr>
      </w:pPr>
    </w:p>
    <w:p w:rsidR="00AB1A89" w:rsidRDefault="008A6134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Настоящим в Регламент обслуживания клиентов на рынке ценных бумаг</w:t>
      </w:r>
      <w:r w:rsidR="00D06DAA">
        <w:rPr>
          <w:lang w:val="ru-RU"/>
        </w:rPr>
        <w:t>,</w:t>
      </w:r>
      <w:r>
        <w:rPr>
          <w:lang w:val="ru-RU"/>
        </w:rPr>
        <w:t xml:space="preserve"> </w:t>
      </w:r>
      <w:r w:rsidR="00D06DAA" w:rsidRPr="00D06DAA">
        <w:rPr>
          <w:lang w:val="ru-RU"/>
        </w:rPr>
        <w:t>срочном и валютном рынках</w:t>
      </w:r>
      <w:r>
        <w:rPr>
          <w:lang w:val="ru-RU"/>
        </w:rPr>
        <w:t xml:space="preserve"> </w:t>
      </w:r>
      <w:r>
        <w:rPr>
          <w:lang w:val="ru-RU"/>
        </w:rPr>
        <w:t>Общества с ограниченной ответственностью «Инвестиционная палата» (Далее-Регламент) вносятся следующие изменения:</w:t>
      </w:r>
    </w:p>
    <w:p w:rsidR="00AB1A89" w:rsidRDefault="008A6134">
      <w:pPr>
        <w:pStyle w:val="Avtor11"/>
        <w:tabs>
          <w:tab w:val="left" w:pos="1723"/>
        </w:tabs>
        <w:spacing w:before="40" w:after="4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Изложить пункт 5.3.11. Регламента в следующей редакции:</w:t>
      </w:r>
    </w:p>
    <w:p w:rsidR="00AB1A89" w:rsidRDefault="008A6134">
      <w:pPr>
        <w:pStyle w:val="Avtor11"/>
        <w:tabs>
          <w:tab w:val="left" w:pos="1440"/>
        </w:tabs>
        <w:spacing w:before="40" w:after="40"/>
        <w:ind w:left="720" w:hanging="72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Прежняя редакция:</w:t>
      </w:r>
    </w:p>
    <w:p w:rsidR="00AB1A89" w:rsidRDefault="008A6134">
      <w:pPr>
        <w:widowControl/>
        <w:tabs>
          <w:tab w:val="left" w:pos="3600"/>
        </w:tabs>
        <w:spacing w:before="40" w:after="40"/>
        <w:ind w:left="567" w:hanging="567"/>
        <w:jc w:val="both"/>
        <w:textAlignment w:val="auto"/>
        <w:rPr>
          <w:rFonts w:eastAsia="Times New Roman" w:cs="Times New Roman"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color w:val="auto"/>
          <w:kern w:val="0"/>
          <w:lang w:val="ru-RU" w:eastAsia="ar-SA" w:bidi="ar-SA"/>
        </w:rPr>
        <w:t xml:space="preserve">5.3.11. </w:t>
      </w:r>
      <w:proofErr w:type="gramStart"/>
      <w:r>
        <w:rPr>
          <w:rFonts w:eastAsia="Times New Roman" w:cs="Times New Roman"/>
          <w:color w:val="auto"/>
          <w:kern w:val="0"/>
          <w:lang w:val="ru-RU" w:eastAsia="ar-SA" w:bidi="ar-SA"/>
        </w:rPr>
        <w:t xml:space="preserve">Любые распределения на ценные бумаги клиента, находящиеся на </w:t>
      </w:r>
      <w:r>
        <w:rPr>
          <w:rFonts w:eastAsia="Times New Roman" w:cs="Times New Roman"/>
          <w:color w:val="auto"/>
          <w:kern w:val="0"/>
          <w:lang w:val="ru-RU" w:eastAsia="ar-SA" w:bidi="ar-SA"/>
        </w:rPr>
        <w:t>счете депо Клиента в Депозитарии Брокера (дополнительные эмиссии, проценты, дивиденды и т.д.), зачисляются Брокером на основании настоящего Регламента либо на счет депо Клиента (в случае, если такие распределения получены в форме ценных бумаг), либо на Инв</w:t>
      </w:r>
      <w:r>
        <w:rPr>
          <w:rFonts w:eastAsia="Times New Roman" w:cs="Times New Roman"/>
          <w:color w:val="auto"/>
          <w:kern w:val="0"/>
          <w:lang w:val="ru-RU" w:eastAsia="ar-SA" w:bidi="ar-SA"/>
        </w:rPr>
        <w:t>естиционный счет клиента (в случае, если такие распределения получены в денежной форме).</w:t>
      </w:r>
      <w:proofErr w:type="gramEnd"/>
    </w:p>
    <w:p w:rsidR="00AB1A89" w:rsidRDefault="008A6134">
      <w:pPr>
        <w:pStyle w:val="Avtor11"/>
        <w:spacing w:before="40" w:after="4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Новая редакция:</w:t>
      </w:r>
    </w:p>
    <w:p w:rsidR="00AB1A89" w:rsidRPr="006A5617" w:rsidRDefault="008A6134">
      <w:pPr>
        <w:widowControl/>
        <w:tabs>
          <w:tab w:val="left" w:pos="3600"/>
        </w:tabs>
        <w:spacing w:before="40" w:after="40"/>
        <w:ind w:left="567" w:hanging="567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auto"/>
          <w:kern w:val="0"/>
          <w:lang w:val="ru-RU" w:eastAsia="ar-SA" w:bidi="ar-SA"/>
        </w:rPr>
        <w:t>5.3.11</w:t>
      </w:r>
      <w:proofErr w:type="gramStart"/>
      <w:r>
        <w:rPr>
          <w:rFonts w:eastAsia="Times New Roman" w:cs="Times New Roman"/>
          <w:color w:val="auto"/>
          <w:kern w:val="0"/>
          <w:lang w:val="ru-RU" w:eastAsia="ar-SA" w:bidi="ar-SA"/>
        </w:rPr>
        <w:t xml:space="preserve"> Л</w:t>
      </w:r>
      <w:proofErr w:type="gramEnd"/>
      <w:r>
        <w:rPr>
          <w:rFonts w:eastAsia="Times New Roman" w:cs="Times New Roman"/>
          <w:color w:val="auto"/>
          <w:kern w:val="0"/>
          <w:lang w:val="ru-RU" w:eastAsia="ar-SA" w:bidi="ar-SA"/>
        </w:rPr>
        <w:t>юбые распределения на ценные бумаги клиента, находящиеся на счете депо Клиента в Депозитарии Брокера (дополнительные эмиссии, проценты, дивиден</w:t>
      </w:r>
      <w:r>
        <w:rPr>
          <w:rFonts w:eastAsia="Times New Roman" w:cs="Times New Roman"/>
          <w:color w:val="auto"/>
          <w:kern w:val="0"/>
          <w:lang w:val="ru-RU" w:eastAsia="ar-SA" w:bidi="ar-SA"/>
        </w:rPr>
        <w:t>ды и т.д.), зачисляются Брокером на основании настоящего Регламента либо на счет депо Клиента (в случае, если такие распределения получены в форме ценных бумаг), либо на Инвестиционный счет клиента (в случае, если такие распределения получены в денежной фо</w:t>
      </w:r>
      <w:r>
        <w:rPr>
          <w:rFonts w:eastAsia="Times New Roman" w:cs="Times New Roman"/>
          <w:color w:val="auto"/>
          <w:kern w:val="0"/>
          <w:lang w:val="ru-RU" w:eastAsia="ar-SA" w:bidi="ar-SA"/>
        </w:rPr>
        <w:t xml:space="preserve">рме).  Зачисление поступивших дивидендов на банковский счёт клиента возможно, для этого клиент должен предоставить </w:t>
      </w:r>
      <w:r w:rsidR="00D06DAA">
        <w:rPr>
          <w:rFonts w:eastAsia="Times New Roman" w:cs="Times New Roman"/>
          <w:color w:val="auto"/>
          <w:kern w:val="0"/>
          <w:lang w:val="ru-RU" w:eastAsia="ar-SA" w:bidi="ar-SA"/>
        </w:rPr>
        <w:t>в депозитарий О</w:t>
      </w:r>
      <w:bookmarkStart w:id="0" w:name="_GoBack"/>
      <w:bookmarkEnd w:id="0"/>
      <w:r w:rsidR="00D06DAA">
        <w:rPr>
          <w:rFonts w:eastAsia="Times New Roman" w:cs="Times New Roman"/>
          <w:color w:val="auto"/>
          <w:kern w:val="0"/>
          <w:lang w:val="ru-RU" w:eastAsia="ar-SA" w:bidi="ar-SA"/>
        </w:rPr>
        <w:t>бщества З</w:t>
      </w:r>
      <w:r>
        <w:rPr>
          <w:rFonts w:eastAsia="Times New Roman" w:cs="Times New Roman"/>
          <w:color w:val="auto"/>
          <w:kern w:val="0"/>
          <w:lang w:val="ru-RU" w:eastAsia="ar-SA" w:bidi="ar-SA"/>
        </w:rPr>
        <w:t xml:space="preserve">аявление </w:t>
      </w:r>
      <w:r w:rsidR="00D06DAA">
        <w:rPr>
          <w:rFonts w:eastAsia="Times New Roman" w:cs="Times New Roman"/>
          <w:color w:val="auto"/>
          <w:kern w:val="0"/>
          <w:lang w:val="ru-RU" w:eastAsia="ar-SA" w:bidi="ar-SA"/>
        </w:rPr>
        <w:t>о перечислении доходов и иных выплат</w:t>
      </w:r>
      <w:r>
        <w:rPr>
          <w:rFonts w:eastAsia="Times New Roman" w:cs="Times New Roman"/>
          <w:color w:val="auto"/>
          <w:kern w:val="0"/>
          <w:lang w:val="ru-RU" w:eastAsia="ar-SA" w:bidi="ar-SA"/>
        </w:rPr>
        <w:t>.</w:t>
      </w:r>
    </w:p>
    <w:sectPr w:rsidR="00AB1A89" w:rsidRPr="006A5617">
      <w:pgSz w:w="11905" w:h="16837"/>
      <w:pgMar w:top="735" w:right="1134" w:bottom="8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34" w:rsidRDefault="008A6134">
      <w:r>
        <w:separator/>
      </w:r>
    </w:p>
  </w:endnote>
  <w:endnote w:type="continuationSeparator" w:id="0">
    <w:p w:rsidR="008A6134" w:rsidRDefault="008A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34" w:rsidRDefault="008A6134">
      <w:r>
        <w:separator/>
      </w:r>
    </w:p>
  </w:footnote>
  <w:footnote w:type="continuationSeparator" w:id="0">
    <w:p w:rsidR="008A6134" w:rsidRDefault="008A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C92"/>
    <w:multiLevelType w:val="multilevel"/>
    <w:tmpl w:val="36A48CC0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61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>
    <w:nsid w:val="33BF56A5"/>
    <w:multiLevelType w:val="multilevel"/>
    <w:tmpl w:val="9CACE336"/>
    <w:styleLink w:val="WW8Num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01" w:hanging="375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66" w:hanging="1440"/>
      </w:pPr>
      <w:rPr>
        <w:b/>
      </w:rPr>
    </w:lvl>
  </w:abstractNum>
  <w:abstractNum w:abstractNumId="2">
    <w:nsid w:val="36F93F26"/>
    <w:multiLevelType w:val="multilevel"/>
    <w:tmpl w:val="B95ECC4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B271487"/>
    <w:multiLevelType w:val="multilevel"/>
    <w:tmpl w:val="642A30A4"/>
    <w:styleLink w:val="WW8Num10"/>
    <w:lvl w:ilvl="0">
      <w:start w:val="1"/>
      <w:numFmt w:val="decimal"/>
      <w:pStyle w:val="Avtor111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1A89"/>
    <w:rsid w:val="006A5617"/>
    <w:rsid w:val="008A6134"/>
    <w:rsid w:val="00AB1A89"/>
    <w:rsid w:val="00D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spacing w:before="240" w:after="60"/>
      <w:textAlignment w:val="auto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ar-SA" w:bidi="ar-SA"/>
    </w:rPr>
  </w:style>
  <w:style w:type="paragraph" w:styleId="6">
    <w:name w:val="heading 6"/>
    <w:basedOn w:val="a"/>
    <w:next w:val="a"/>
    <w:pPr>
      <w:widowControl/>
      <w:spacing w:before="240" w:after="60"/>
      <w:textAlignment w:val="auto"/>
      <w:outlineLvl w:val="5"/>
    </w:pPr>
    <w:rPr>
      <w:rFonts w:eastAsia="Times New Roman" w:cs="Times New Roman"/>
      <w:i/>
      <w:iCs/>
      <w:color w:val="auto"/>
      <w:kern w:val="0"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pPr>
      <w:keepNext/>
      <w:widowControl/>
      <w:textAlignment w:val="auto"/>
      <w:outlineLvl w:val="6"/>
    </w:pPr>
    <w:rPr>
      <w:rFonts w:eastAsia="Times New Roman" w:cs="Times New Roman"/>
      <w:b/>
      <w:bCs/>
      <w:color w:val="auto"/>
      <w:kern w:val="0"/>
      <w:lang w:val="ru-RU" w:eastAsia="ar-SA" w:bidi="ar-SA"/>
    </w:rPr>
  </w:style>
  <w:style w:type="paragraph" w:styleId="9">
    <w:name w:val="heading 9"/>
    <w:basedOn w:val="Standard"/>
    <w:next w:val="Standar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</w:style>
  <w:style w:type="paragraph" w:customStyle="1" w:styleId="Avtor11">
    <w:name w:val="Avtor 1.1."/>
    <w:basedOn w:val="a3"/>
    <w:pPr>
      <w:spacing w:after="120"/>
      <w:jc w:val="both"/>
    </w:pPr>
    <w:rPr>
      <w:sz w:val="20"/>
      <w:szCs w:val="20"/>
    </w:rPr>
  </w:style>
  <w:style w:type="paragraph" w:customStyle="1" w:styleId="Avtor111">
    <w:name w:val="Avtor 1.1.1"/>
    <w:basedOn w:val="Avtor11"/>
    <w:pPr>
      <w:numPr>
        <w:numId w:val="1"/>
      </w:numPr>
    </w:pPr>
  </w:style>
  <w:style w:type="paragraph" w:customStyle="1" w:styleId="a4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WW8Num12z1">
    <w:name w:val="WW8Num12z1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olor w:val="auto"/>
      <w:kern w:val="3"/>
      <w:sz w:val="32"/>
      <w:szCs w:val="32"/>
      <w:lang w:val="ru-RU" w:eastAsia="ar-SA" w:bidi="ar-SA"/>
    </w:rPr>
  </w:style>
  <w:style w:type="character" w:customStyle="1" w:styleId="60">
    <w:name w:val="Заголовок 6 Знак"/>
    <w:basedOn w:val="a0"/>
    <w:rPr>
      <w:rFonts w:eastAsia="Times New Roman" w:cs="Times New Roman"/>
      <w:i/>
      <w:iCs/>
      <w:color w:val="auto"/>
      <w:kern w:val="0"/>
      <w:sz w:val="22"/>
      <w:szCs w:val="22"/>
      <w:lang w:val="ru-RU"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color w:val="auto"/>
      <w:kern w:val="0"/>
      <w:lang w:val="ru-RU" w:eastAsia="ar-SA" w:bidi="ar-SA"/>
    </w:rPr>
  </w:style>
  <w:style w:type="numbering" w:customStyle="1" w:styleId="WW8Num10">
    <w:name w:val="WW8Num10"/>
    <w:basedOn w:val="a2"/>
    <w:pPr>
      <w:numPr>
        <w:numId w:val="1"/>
      </w:numPr>
    </w:pPr>
  </w:style>
  <w:style w:type="numbering" w:customStyle="1" w:styleId="WW8Num12">
    <w:name w:val="WW8Num12"/>
    <w:basedOn w:val="a2"/>
    <w:pPr>
      <w:numPr>
        <w:numId w:val="2"/>
      </w:numPr>
    </w:pPr>
  </w:style>
  <w:style w:type="numbering" w:customStyle="1" w:styleId="WW8Num22">
    <w:name w:val="WW8Num2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spacing w:before="240" w:after="60"/>
      <w:textAlignment w:val="auto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ar-SA" w:bidi="ar-SA"/>
    </w:rPr>
  </w:style>
  <w:style w:type="paragraph" w:styleId="6">
    <w:name w:val="heading 6"/>
    <w:basedOn w:val="a"/>
    <w:next w:val="a"/>
    <w:pPr>
      <w:widowControl/>
      <w:spacing w:before="240" w:after="60"/>
      <w:textAlignment w:val="auto"/>
      <w:outlineLvl w:val="5"/>
    </w:pPr>
    <w:rPr>
      <w:rFonts w:eastAsia="Times New Roman" w:cs="Times New Roman"/>
      <w:i/>
      <w:iCs/>
      <w:color w:val="auto"/>
      <w:kern w:val="0"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pPr>
      <w:keepNext/>
      <w:widowControl/>
      <w:textAlignment w:val="auto"/>
      <w:outlineLvl w:val="6"/>
    </w:pPr>
    <w:rPr>
      <w:rFonts w:eastAsia="Times New Roman" w:cs="Times New Roman"/>
      <w:b/>
      <w:bCs/>
      <w:color w:val="auto"/>
      <w:kern w:val="0"/>
      <w:lang w:val="ru-RU" w:eastAsia="ar-SA" w:bidi="ar-SA"/>
    </w:rPr>
  </w:style>
  <w:style w:type="paragraph" w:styleId="9">
    <w:name w:val="heading 9"/>
    <w:basedOn w:val="Standard"/>
    <w:next w:val="Standar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</w:style>
  <w:style w:type="paragraph" w:customStyle="1" w:styleId="Avtor11">
    <w:name w:val="Avtor 1.1."/>
    <w:basedOn w:val="a3"/>
    <w:pPr>
      <w:spacing w:after="120"/>
      <w:jc w:val="both"/>
    </w:pPr>
    <w:rPr>
      <w:sz w:val="20"/>
      <w:szCs w:val="20"/>
    </w:rPr>
  </w:style>
  <w:style w:type="paragraph" w:customStyle="1" w:styleId="Avtor111">
    <w:name w:val="Avtor 1.1.1"/>
    <w:basedOn w:val="Avtor11"/>
    <w:pPr>
      <w:numPr>
        <w:numId w:val="1"/>
      </w:numPr>
    </w:pPr>
  </w:style>
  <w:style w:type="paragraph" w:customStyle="1" w:styleId="a4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character" w:customStyle="1" w:styleId="WW8Num12z1">
    <w:name w:val="WW8Num12z1"/>
    <w:rPr>
      <w:b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color w:val="auto"/>
      <w:kern w:val="3"/>
      <w:sz w:val="32"/>
      <w:szCs w:val="32"/>
      <w:lang w:val="ru-RU" w:eastAsia="ar-SA" w:bidi="ar-SA"/>
    </w:rPr>
  </w:style>
  <w:style w:type="character" w:customStyle="1" w:styleId="60">
    <w:name w:val="Заголовок 6 Знак"/>
    <w:basedOn w:val="a0"/>
    <w:rPr>
      <w:rFonts w:eastAsia="Times New Roman" w:cs="Times New Roman"/>
      <w:i/>
      <w:iCs/>
      <w:color w:val="auto"/>
      <w:kern w:val="0"/>
      <w:sz w:val="22"/>
      <w:szCs w:val="22"/>
      <w:lang w:val="ru-RU"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color w:val="auto"/>
      <w:kern w:val="0"/>
      <w:lang w:val="ru-RU" w:eastAsia="ar-SA" w:bidi="ar-SA"/>
    </w:rPr>
  </w:style>
  <w:style w:type="numbering" w:customStyle="1" w:styleId="WW8Num10">
    <w:name w:val="WW8Num10"/>
    <w:basedOn w:val="a2"/>
    <w:pPr>
      <w:numPr>
        <w:numId w:val="1"/>
      </w:numPr>
    </w:pPr>
  </w:style>
  <w:style w:type="numbering" w:customStyle="1" w:styleId="WW8Num12">
    <w:name w:val="WW8Num12"/>
    <w:basedOn w:val="a2"/>
    <w:pPr>
      <w:numPr>
        <w:numId w:val="2"/>
      </w:numPr>
    </w:pPr>
  </w:style>
  <w:style w:type="numbering" w:customStyle="1" w:styleId="WW8Num22">
    <w:name w:val="WW8Num2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3</cp:revision>
  <cp:lastPrinted>2021-07-13T15:56:00Z</cp:lastPrinted>
  <dcterms:created xsi:type="dcterms:W3CDTF">2021-07-13T15:59:00Z</dcterms:created>
  <dcterms:modified xsi:type="dcterms:W3CDTF">2021-07-13T16:01:00Z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