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FFC3" w14:textId="77777777" w:rsidR="004C1485" w:rsidRPr="00F42B53" w:rsidRDefault="004C1485" w:rsidP="004C1485">
      <w:pPr>
        <w:jc w:val="center"/>
        <w:rPr>
          <w:rFonts w:ascii="Times New Roman" w:hAnsi="Times New Roman"/>
          <w:b/>
        </w:rPr>
      </w:pPr>
      <w:r w:rsidRPr="00F42B53">
        <w:rPr>
          <w:rFonts w:ascii="Times New Roman" w:hAnsi="Times New Roman"/>
          <w:b/>
        </w:rPr>
        <w:t>Заявление</w:t>
      </w:r>
    </w:p>
    <w:p w14:paraId="71AE89FE" w14:textId="77777777" w:rsidR="004C1485" w:rsidRPr="00F42B53" w:rsidRDefault="004C1485" w:rsidP="004C1485">
      <w:pPr>
        <w:jc w:val="center"/>
        <w:rPr>
          <w:rFonts w:ascii="Times New Roman" w:hAnsi="Times New Roman"/>
          <w:b/>
        </w:rPr>
      </w:pPr>
      <w:r w:rsidRPr="00F42B53">
        <w:rPr>
          <w:rFonts w:ascii="Times New Roman" w:hAnsi="Times New Roman"/>
          <w:b/>
        </w:rPr>
        <w:t>на тестирование физических лиц, не являющихся квалифицированными инвесторами</w:t>
      </w:r>
    </w:p>
    <w:p w14:paraId="4FF0D147" w14:textId="77777777" w:rsidR="004C1485" w:rsidRPr="00F42B53" w:rsidRDefault="004C1485" w:rsidP="004C1485">
      <w:pPr>
        <w:spacing w:after="0" w:line="240" w:lineRule="auto"/>
        <w:rPr>
          <w:rFonts w:ascii="Times New Roman" w:hAnsi="Times New Roman"/>
        </w:rPr>
      </w:pPr>
      <w:r w:rsidRPr="00F42B53">
        <w:rPr>
          <w:rFonts w:ascii="Times New Roman" w:hAnsi="Times New Roman"/>
        </w:rPr>
        <w:t>Ф.И.О. ___________________________________________________________________</w:t>
      </w:r>
    </w:p>
    <w:p w14:paraId="6499824F" w14:textId="366C2A4C" w:rsidR="004C1485" w:rsidRPr="00F42B53" w:rsidRDefault="004C1485" w:rsidP="004C1485">
      <w:pPr>
        <w:spacing w:after="0" w:line="240" w:lineRule="auto"/>
        <w:rPr>
          <w:rFonts w:ascii="Times New Roman" w:hAnsi="Times New Roman"/>
        </w:rPr>
      </w:pPr>
      <w:r w:rsidRPr="00F42B53">
        <w:rPr>
          <w:rFonts w:ascii="Times New Roman" w:hAnsi="Times New Roman"/>
        </w:rPr>
        <w:t xml:space="preserve">Договор на брокерское </w:t>
      </w:r>
      <w:proofErr w:type="gramStart"/>
      <w:r w:rsidRPr="00F42B53">
        <w:rPr>
          <w:rFonts w:ascii="Times New Roman" w:hAnsi="Times New Roman"/>
        </w:rPr>
        <w:t xml:space="preserve">обслуживание </w:t>
      </w:r>
      <w:r>
        <w:rPr>
          <w:rFonts w:ascii="Times New Roman" w:hAnsi="Times New Roman"/>
        </w:rPr>
        <w:t xml:space="preserve"> №</w:t>
      </w:r>
      <w:proofErr w:type="gramEnd"/>
      <w:r>
        <w:rPr>
          <w:rFonts w:ascii="Times New Roman" w:hAnsi="Times New Roman"/>
        </w:rPr>
        <w:t>БФ-</w:t>
      </w:r>
      <w:r w:rsidRPr="00F42B53">
        <w:rPr>
          <w:rFonts w:ascii="Times New Roman" w:hAnsi="Times New Roman"/>
        </w:rPr>
        <w:t>_____________от_____________</w:t>
      </w:r>
    </w:p>
    <w:p w14:paraId="7028F1A7" w14:textId="77777777" w:rsidR="004C1485" w:rsidRPr="00F42B53" w:rsidRDefault="004C1485" w:rsidP="004C1485">
      <w:pPr>
        <w:spacing w:after="0" w:line="240" w:lineRule="auto"/>
        <w:rPr>
          <w:rFonts w:ascii="Times New Roman" w:hAnsi="Times New Roman"/>
        </w:rPr>
      </w:pPr>
      <w:r w:rsidRPr="00F42B53">
        <w:rPr>
          <w:rFonts w:ascii="Times New Roman" w:hAnsi="Times New Roman"/>
        </w:rPr>
        <w:t>Адрес электронной почты (обязательно)_______________________________________</w:t>
      </w:r>
    </w:p>
    <w:p w14:paraId="6DCB9584" w14:textId="77777777" w:rsidR="004C1485" w:rsidRPr="00F42B53" w:rsidRDefault="004C1485" w:rsidP="004C14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EE7D8A">
        <w:rPr>
          <w:rFonts w:ascii="Times New Roman" w:hAnsi="Times New Roman"/>
        </w:rPr>
        <w:t xml:space="preserve">еквизиты документа, удостоверяющего личность (серия, </w:t>
      </w:r>
      <w:proofErr w:type="gramStart"/>
      <w:r w:rsidRPr="00EE7D8A">
        <w:rPr>
          <w:rFonts w:ascii="Times New Roman" w:hAnsi="Times New Roman"/>
        </w:rPr>
        <w:t>номер)</w:t>
      </w:r>
      <w:r>
        <w:rPr>
          <w:rFonts w:ascii="Times New Roman" w:hAnsi="Times New Roman"/>
        </w:rPr>
        <w:t>_</w:t>
      </w:r>
      <w:proofErr w:type="gramEnd"/>
      <w:r>
        <w:rPr>
          <w:rFonts w:ascii="Times New Roman" w:hAnsi="Times New Roman"/>
        </w:rPr>
        <w:t>_________________</w:t>
      </w:r>
    </w:p>
    <w:p w14:paraId="3633E0EA" w14:textId="77777777" w:rsidR="004C1485" w:rsidRPr="00F42B53" w:rsidRDefault="004C1485" w:rsidP="004C1485">
      <w:pPr>
        <w:spacing w:after="0" w:line="240" w:lineRule="auto"/>
        <w:rPr>
          <w:rFonts w:ascii="Times New Roman" w:hAnsi="Times New Roman"/>
        </w:rPr>
      </w:pPr>
      <w:r w:rsidRPr="00F42B53">
        <w:rPr>
          <w:rFonts w:ascii="Times New Roman" w:hAnsi="Times New Roman"/>
        </w:rPr>
        <w:t>Прошу провести тестирование на совершение следующих видов сделок:</w:t>
      </w:r>
    </w:p>
    <w:p w14:paraId="7F484380" w14:textId="77777777" w:rsidR="004C1485" w:rsidRPr="00F42B53" w:rsidRDefault="004C1485" w:rsidP="004C1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1"/>
        <w:gridCol w:w="1464"/>
      </w:tblGrid>
      <w:tr w:rsidR="004C1485" w:rsidRPr="00F42B53" w14:paraId="66B485F7" w14:textId="77777777" w:rsidTr="00496C3D">
        <w:tc>
          <w:tcPr>
            <w:tcW w:w="8472" w:type="dxa"/>
            <w:shd w:val="clear" w:color="auto" w:fill="auto"/>
          </w:tcPr>
          <w:p w14:paraId="1252852E" w14:textId="77777777" w:rsidR="004C1485" w:rsidRPr="00F42B53" w:rsidRDefault="004C1485" w:rsidP="0049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42B53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r w:rsidRPr="00F42B5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36CCC">
              <w:rPr>
                <w:rFonts w:ascii="Times New Roman" w:hAnsi="Times New Roman"/>
                <w:b/>
                <w:sz w:val="20"/>
                <w:szCs w:val="20"/>
              </w:rPr>
              <w:t>сделок и (или) договоров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 требующих тестирование</w:t>
            </w:r>
          </w:p>
        </w:tc>
        <w:tc>
          <w:tcPr>
            <w:tcW w:w="1099" w:type="dxa"/>
            <w:shd w:val="clear" w:color="auto" w:fill="auto"/>
          </w:tcPr>
          <w:p w14:paraId="02CBFCF9" w14:textId="77777777" w:rsidR="004C1485" w:rsidRPr="00F42B53" w:rsidRDefault="004C1485" w:rsidP="00496C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Выбор тестирования </w:t>
            </w:r>
          </w:p>
        </w:tc>
      </w:tr>
      <w:tr w:rsidR="004C1485" w:rsidRPr="00F42B53" w14:paraId="0AF0909A" w14:textId="77777777" w:rsidTr="00496C3D">
        <w:tc>
          <w:tcPr>
            <w:tcW w:w="8472" w:type="dxa"/>
            <w:shd w:val="clear" w:color="auto" w:fill="auto"/>
          </w:tcPr>
          <w:p w14:paraId="368446B3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необеспеченные сделки</w:t>
            </w:r>
          </w:p>
        </w:tc>
        <w:tc>
          <w:tcPr>
            <w:tcW w:w="1099" w:type="dxa"/>
            <w:shd w:val="clear" w:color="auto" w:fill="auto"/>
          </w:tcPr>
          <w:p w14:paraId="0B991613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24ACB854" w14:textId="77777777" w:rsidTr="00496C3D">
        <w:tc>
          <w:tcPr>
            <w:tcW w:w="8472" w:type="dxa"/>
            <w:shd w:val="clear" w:color="auto" w:fill="auto"/>
          </w:tcPr>
          <w:p w14:paraId="49E8122D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договоры, являющиеся производными финансовыми инструментами и не предназначенные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ля квалифицированных инвесторов</w:t>
            </w:r>
          </w:p>
        </w:tc>
        <w:tc>
          <w:tcPr>
            <w:tcW w:w="1099" w:type="dxa"/>
            <w:shd w:val="clear" w:color="auto" w:fill="auto"/>
          </w:tcPr>
          <w:p w14:paraId="670E24F5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45DEA88A" w14:textId="77777777" w:rsidTr="00496C3D">
        <w:tc>
          <w:tcPr>
            <w:tcW w:w="8472" w:type="dxa"/>
            <w:shd w:val="clear" w:color="auto" w:fill="auto"/>
          </w:tcPr>
          <w:p w14:paraId="11282285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сделки по приобретению структурных облигаций, не предназначенных д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ля квалифицированных инвесторов</w:t>
            </w:r>
          </w:p>
        </w:tc>
        <w:tc>
          <w:tcPr>
            <w:tcW w:w="1099" w:type="dxa"/>
            <w:shd w:val="clear" w:color="auto" w:fill="auto"/>
          </w:tcPr>
          <w:p w14:paraId="4BC0FE0A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4BE9C97F" w14:textId="77777777" w:rsidTr="00496C3D">
        <w:tc>
          <w:tcPr>
            <w:tcW w:w="8472" w:type="dxa"/>
            <w:shd w:val="clear" w:color="auto" w:fill="auto"/>
          </w:tcPr>
          <w:p w14:paraId="09F486FC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сделки по приобретению инвестиционных паев закрытых паевых инвестиционных фондов, не предназначенных для квалифицированных инвесторов, 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ебующих проведения тестирования</w:t>
            </w:r>
          </w:p>
        </w:tc>
        <w:tc>
          <w:tcPr>
            <w:tcW w:w="1099" w:type="dxa"/>
            <w:shd w:val="clear" w:color="auto" w:fill="auto"/>
          </w:tcPr>
          <w:p w14:paraId="04EB24A7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52CEBDC0" w14:textId="77777777" w:rsidTr="00496C3D">
        <w:tc>
          <w:tcPr>
            <w:tcW w:w="8472" w:type="dxa"/>
            <w:shd w:val="clear" w:color="auto" w:fill="auto"/>
          </w:tcPr>
          <w:p w14:paraId="62E3FB21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сделки по приобретению облигаций российских эмитентов, которым (эмитенту которых, лицу, предоставившему </w:t>
            </w:r>
            <w:proofErr w:type="gramStart"/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обеспечение</w:t>
            </w:r>
            <w:proofErr w:type="gramEnd"/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по которым) не присвоен кредитный рейтинг либо кредитный рейтинг которых (эмитента которых, лица, предоставившего обеспечение по которым) ниже уровня, установленного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Советом директоров Банка России</w:t>
            </w:r>
          </w:p>
        </w:tc>
        <w:tc>
          <w:tcPr>
            <w:tcW w:w="1099" w:type="dxa"/>
            <w:shd w:val="clear" w:color="auto" w:fill="auto"/>
          </w:tcPr>
          <w:p w14:paraId="5F2613B4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5358B048" w14:textId="77777777" w:rsidTr="00496C3D">
        <w:tc>
          <w:tcPr>
            <w:tcW w:w="8472" w:type="dxa"/>
            <w:shd w:val="clear" w:color="auto" w:fill="auto"/>
          </w:tcPr>
          <w:p w14:paraId="60525507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сделки по приобретению облигаций иностранных эмитентов, исполнение обязательств по которым обеспечивается или осуществляется за счет юридического лица, созданного в соответствии с законодательством Российской Федерации, не имеющего кредитный рейтинг или кредитный рейтинг которого ниже уровня, установленного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Советом директоров Банка России</w:t>
            </w:r>
          </w:p>
        </w:tc>
        <w:tc>
          <w:tcPr>
            <w:tcW w:w="1099" w:type="dxa"/>
            <w:shd w:val="clear" w:color="auto" w:fill="auto"/>
          </w:tcPr>
          <w:p w14:paraId="5194C50F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16C96F45" w14:textId="77777777" w:rsidTr="00496C3D">
        <w:tc>
          <w:tcPr>
            <w:tcW w:w="8472" w:type="dxa"/>
            <w:shd w:val="clear" w:color="auto" w:fill="auto"/>
          </w:tcPr>
          <w:p w14:paraId="0C6FA036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сделки по приобретению 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блигаций со структурным доходом</w:t>
            </w:r>
          </w:p>
        </w:tc>
        <w:tc>
          <w:tcPr>
            <w:tcW w:w="1099" w:type="dxa"/>
            <w:shd w:val="clear" w:color="auto" w:fill="auto"/>
          </w:tcPr>
          <w:p w14:paraId="3161FA3B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40C5D5D4" w14:textId="77777777" w:rsidTr="00496C3D">
        <w:tc>
          <w:tcPr>
            <w:tcW w:w="8472" w:type="dxa"/>
            <w:shd w:val="clear" w:color="auto" w:fill="auto"/>
          </w:tcPr>
          <w:p w14:paraId="48BE68A2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сделки по приобретению акций, не вк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люченных в котировальные списки</w:t>
            </w:r>
          </w:p>
        </w:tc>
        <w:tc>
          <w:tcPr>
            <w:tcW w:w="1099" w:type="dxa"/>
            <w:shd w:val="clear" w:color="auto" w:fill="auto"/>
          </w:tcPr>
          <w:p w14:paraId="4BC0DC07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3CE350D8" w14:textId="77777777" w:rsidTr="00496C3D">
        <w:tc>
          <w:tcPr>
            <w:tcW w:w="8472" w:type="dxa"/>
            <w:shd w:val="clear" w:color="auto" w:fill="auto"/>
          </w:tcPr>
          <w:p w14:paraId="00A90554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сделки по приобретению иностранных акций, 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ебующие проведения тестирования</w:t>
            </w:r>
          </w:p>
        </w:tc>
        <w:tc>
          <w:tcPr>
            <w:tcW w:w="1099" w:type="dxa"/>
            <w:shd w:val="clear" w:color="auto" w:fill="auto"/>
          </w:tcPr>
          <w:p w14:paraId="6F3E1CC9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C1485" w:rsidRPr="00F42B53" w14:paraId="13146E3C" w14:textId="77777777" w:rsidTr="00496C3D">
        <w:tc>
          <w:tcPr>
            <w:tcW w:w="8472" w:type="dxa"/>
            <w:shd w:val="clear" w:color="auto" w:fill="auto"/>
          </w:tcPr>
          <w:p w14:paraId="77A13D37" w14:textId="77777777" w:rsidR="004C1485" w:rsidRPr="00F42B53" w:rsidRDefault="004C1485" w:rsidP="00496C3D">
            <w:pPr>
              <w:suppressAutoHyphens/>
              <w:spacing w:before="40" w:after="40" w:line="240" w:lineRule="auto"/>
              <w:ind w:left="374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42B5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сделки по приобретению паев иностранных ETF, тр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ебующих проведения тестирования</w:t>
            </w:r>
          </w:p>
        </w:tc>
        <w:tc>
          <w:tcPr>
            <w:tcW w:w="1099" w:type="dxa"/>
            <w:shd w:val="clear" w:color="auto" w:fill="auto"/>
          </w:tcPr>
          <w:p w14:paraId="7FB66382" w14:textId="77777777" w:rsidR="004C1485" w:rsidRPr="00F42B53" w:rsidRDefault="004C1485" w:rsidP="00496C3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1D5BEF4" w14:textId="77777777" w:rsidR="004C1485" w:rsidRPr="00F42B53" w:rsidRDefault="004C1485" w:rsidP="004C1485">
      <w:pPr>
        <w:rPr>
          <w:sz w:val="20"/>
          <w:szCs w:val="20"/>
        </w:rPr>
      </w:pPr>
    </w:p>
    <w:p w14:paraId="500B513C" w14:textId="77777777" w:rsidR="004C1485" w:rsidRDefault="004C1485" w:rsidP="004C14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384648" w14:textId="77777777" w:rsidR="004C1485" w:rsidRDefault="004C1485" w:rsidP="004C14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D300A" w14:textId="77777777" w:rsidR="004C1485" w:rsidRPr="00F42B53" w:rsidRDefault="004C1485" w:rsidP="004C148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Дата_________                                       Подпись_________________/_______________/</w:t>
      </w:r>
    </w:p>
    <w:p w14:paraId="17F2FACC" w14:textId="77777777" w:rsidR="004C1485" w:rsidRDefault="004C1485"/>
    <w:sectPr w:rsidR="004C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85"/>
    <w:rsid w:val="004C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AC65"/>
  <w15:chartTrackingRefBased/>
  <w15:docId w15:val="{284F9455-DE1A-4D96-AB60-D55B0084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2021-10-04T11:00:00Z</dcterms:created>
  <dcterms:modified xsi:type="dcterms:W3CDTF">2021-10-04T11:02:00Z</dcterms:modified>
</cp:coreProperties>
</file>